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4" w:rsidRPr="00DE6B31" w:rsidRDefault="00BA3A44" w:rsidP="00BA3A44">
      <w:pPr>
        <w:pStyle w:val="Heading2"/>
      </w:pPr>
      <w:r w:rsidRPr="00DE6B31">
        <w:t>SNC2D/2P Chemical Reactions/Chemical Reactions and their Practical Applications</w:t>
      </w:r>
    </w:p>
    <w:p w:rsidR="00BA3A44" w:rsidRPr="00CA444C" w:rsidRDefault="00BA3A44" w:rsidP="00BA3A44">
      <w:pPr>
        <w:pStyle w:val="Heading1"/>
      </w:pPr>
      <w:r w:rsidRPr="00CA444C">
        <w:t>Teacher Demo</w:t>
      </w:r>
      <w:r>
        <w:t>/Student Activity</w:t>
      </w:r>
      <w:r w:rsidRPr="00CA444C">
        <w:t xml:space="preserve">: </w:t>
      </w:r>
      <w:r w:rsidRPr="00DE6B31">
        <w:t>Red Cabbage Indicator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8"/>
        <w:gridCol w:w="4788"/>
      </w:tblGrid>
      <w:tr w:rsidR="00BA3A44" w:rsidRPr="002C24F9" w:rsidTr="00BA3A44">
        <w:tc>
          <w:tcPr>
            <w:tcW w:w="2500" w:type="pct"/>
          </w:tcPr>
          <w:p w:rsidR="00BA3A44" w:rsidRDefault="00BA3A44" w:rsidP="00CF1496">
            <w:pPr>
              <w:pStyle w:val="Heading2"/>
            </w:pPr>
            <w:r>
              <w:t>Topics</w:t>
            </w:r>
          </w:p>
          <w:p w:rsidR="00BA3A44" w:rsidRDefault="00BA3A44" w:rsidP="00BA3A44">
            <w:pPr>
              <w:autoSpaceDE w:val="0"/>
              <w:autoSpaceDN w:val="0"/>
              <w:adjustRightInd w:val="0"/>
            </w:pPr>
            <w:r>
              <w:t>p</w:t>
            </w:r>
            <w:r w:rsidRPr="00DE6B31">
              <w:t>roperties of acids and bases</w:t>
            </w:r>
          </w:p>
          <w:p w:rsidR="00BA3A44" w:rsidRPr="004D7152" w:rsidRDefault="00BA3A44" w:rsidP="00BA3A44">
            <w:pPr>
              <w:autoSpaceDE w:val="0"/>
              <w:autoSpaceDN w:val="0"/>
              <w:adjustRightInd w:val="0"/>
            </w:pPr>
            <w:r w:rsidRPr="00DE6B31">
              <w:t>pH scale</w:t>
            </w:r>
          </w:p>
        </w:tc>
        <w:tc>
          <w:tcPr>
            <w:tcW w:w="2500" w:type="pct"/>
          </w:tcPr>
          <w:p w:rsidR="00BA3A44" w:rsidRDefault="00BA3A44" w:rsidP="00CF1496">
            <w:pPr>
              <w:pStyle w:val="Heading2"/>
            </w:pPr>
            <w:r>
              <w:t>Timing</w:t>
            </w:r>
          </w:p>
          <w:p w:rsidR="00BA3A44" w:rsidRPr="00562220" w:rsidRDefault="00BA3A44" w:rsidP="00CF1496">
            <w:pPr>
              <w:autoSpaceDE w:val="0"/>
              <w:autoSpaceDN w:val="0"/>
              <w:adjustRightInd w:val="0"/>
            </w:pPr>
            <w:r w:rsidRPr="00562220">
              <w:t>prep</w:t>
            </w:r>
            <w:r>
              <w:t>aration:</w:t>
            </w:r>
            <w:r w:rsidRPr="00562220">
              <w:t xml:space="preserve"> </w:t>
            </w:r>
            <w:r>
              <w:t>2</w:t>
            </w:r>
            <w:r w:rsidRPr="00562220">
              <w:t>0 min</w:t>
            </w:r>
          </w:p>
          <w:p w:rsidR="00BA3A44" w:rsidRDefault="00BA3A44" w:rsidP="00BA3A44">
            <w:pPr>
              <w:autoSpaceDE w:val="0"/>
              <w:autoSpaceDN w:val="0"/>
              <w:adjustRightInd w:val="0"/>
            </w:pPr>
            <w:r w:rsidRPr="00562220">
              <w:t>demo</w:t>
            </w:r>
            <w:r>
              <w:t>nstration:</w:t>
            </w:r>
            <w:r w:rsidRPr="00562220">
              <w:t xml:space="preserve"> 10</w:t>
            </w:r>
            <w:r>
              <w:t>–15</w:t>
            </w:r>
            <w:r w:rsidRPr="00562220">
              <w:t xml:space="preserve"> min</w:t>
            </w:r>
          </w:p>
          <w:p w:rsidR="0095584B" w:rsidRPr="004D7152" w:rsidRDefault="0095584B" w:rsidP="00BA3A44">
            <w:pPr>
              <w:autoSpaceDE w:val="0"/>
              <w:autoSpaceDN w:val="0"/>
              <w:adjustRightInd w:val="0"/>
            </w:pPr>
            <w:r>
              <w:t>activity: 20−25 min</w:t>
            </w:r>
          </w:p>
        </w:tc>
      </w:tr>
    </w:tbl>
    <w:p w:rsidR="007A7D52" w:rsidRDefault="00BA3A44" w:rsidP="007A7D52">
      <w:pPr>
        <w:pStyle w:val="Heading2"/>
      </w:pPr>
      <w:r w:rsidRPr="00CA30FD">
        <w:t>Specific Expectations</w:t>
      </w:r>
    </w:p>
    <w:p w:rsidR="007A7D52" w:rsidRDefault="00BA3A44" w:rsidP="007A7D52">
      <w:pPr>
        <w:pStyle w:val="Heading3"/>
      </w:pPr>
      <w:r w:rsidRPr="00DE6B31">
        <w:t>SNC2D</w:t>
      </w:r>
    </w:p>
    <w:p w:rsidR="007A7D52" w:rsidRDefault="00BA3A44" w:rsidP="007A7D52">
      <w:pPr>
        <w:pStyle w:val="Materialslist"/>
      </w:pPr>
      <w:r w:rsidRPr="00DE6B31">
        <w:rPr>
          <w:b/>
        </w:rPr>
        <w:t>A1.1</w:t>
      </w:r>
      <w:r w:rsidRPr="002B76E1">
        <w:t xml:space="preserve"> formulate scientific questions about observed relationships, ideas, problems, and/or issues, make predictions, and/or formulate hypotheses to focus inquiries or research</w:t>
      </w:r>
    </w:p>
    <w:p w:rsidR="007A7D52" w:rsidRDefault="00BA3A44" w:rsidP="007A7D52">
      <w:pPr>
        <w:pStyle w:val="Materialslist"/>
      </w:pPr>
      <w:r>
        <w:rPr>
          <w:b/>
        </w:rPr>
        <w:t>A1.10</w:t>
      </w:r>
      <w:r>
        <w:t xml:space="preserve"> draw conclusions based on inquiry results and research findings, and justify their conclusions</w:t>
      </w:r>
    </w:p>
    <w:p w:rsidR="007A7D52" w:rsidRDefault="00BA3A44" w:rsidP="007A7D52">
      <w:pPr>
        <w:pStyle w:val="Materialslist"/>
      </w:pPr>
      <w:r>
        <w:rPr>
          <w:b/>
        </w:rPr>
        <w:t>C2.6</w:t>
      </w:r>
      <w:r>
        <w:t xml:space="preserve"> plan and conduct an inquiry to classify some common substances as acidic, basic, or neutral (e.g., use acid-base indicators or pH test strips to classify common household substances) [IP, PR, AI] </w:t>
      </w:r>
    </w:p>
    <w:p w:rsidR="007A7D52" w:rsidRDefault="00BA3A44" w:rsidP="007A7D52">
      <w:pPr>
        <w:pStyle w:val="Materialslist"/>
      </w:pPr>
      <w:r w:rsidRPr="00DE6B31">
        <w:rPr>
          <w:b/>
        </w:rPr>
        <w:t>C3.7</w:t>
      </w:r>
      <w:r w:rsidRPr="002B76E1">
        <w:t xml:space="preserve"> describe how the pH scale is used to classify solutions as acidic, basic, or neutral (e.g., a solution with a pH of 1 is highly acidic; a solution with a pH of 7 is neutral)</w:t>
      </w:r>
    </w:p>
    <w:p w:rsidR="007A7D52" w:rsidRDefault="00BA3A44" w:rsidP="007A7D52">
      <w:pPr>
        <w:pStyle w:val="Heading3"/>
      </w:pPr>
      <w:r w:rsidRPr="0052729C">
        <w:t>SNC2P</w:t>
      </w:r>
    </w:p>
    <w:p w:rsidR="007A7D52" w:rsidRDefault="00BA3A44" w:rsidP="007A7D52">
      <w:pPr>
        <w:pStyle w:val="Materialslist"/>
      </w:pPr>
      <w:r w:rsidRPr="0052729C">
        <w:rPr>
          <w:b/>
        </w:rPr>
        <w:t>A1.1</w:t>
      </w:r>
      <w:r w:rsidRPr="0052729C">
        <w:t xml:space="preserve"> formulate scientific questions about observed relationships, ideas, problems, and/or issues, make predictions, and/or formulate hypotheses to focus inquiries or research</w:t>
      </w:r>
    </w:p>
    <w:p w:rsidR="007A7D52" w:rsidRDefault="00BA3A44" w:rsidP="007A7D52">
      <w:pPr>
        <w:pStyle w:val="Materialslist"/>
      </w:pPr>
      <w:r>
        <w:rPr>
          <w:b/>
        </w:rPr>
        <w:t>A1.10</w:t>
      </w:r>
      <w:r>
        <w:t xml:space="preserve"> draw conclusions based on inquiry results and research findings, and justify their conclusions</w:t>
      </w:r>
    </w:p>
    <w:p w:rsidR="007A7D52" w:rsidRDefault="00BA3A44" w:rsidP="007A7D52">
      <w:pPr>
        <w:pStyle w:val="Materialslist"/>
      </w:pPr>
      <w:r>
        <w:rPr>
          <w:b/>
        </w:rPr>
        <w:t>C2.6</w:t>
      </w:r>
      <w:r>
        <w:t xml:space="preserve"> conduct an inquiry to classify some common substances as acidic, basic, or neutral (e.g., use acid-base indicators or pH strips to classify common household substances) [PR, AI] </w:t>
      </w:r>
    </w:p>
    <w:p w:rsidR="007A7D52" w:rsidRDefault="00BA3A44" w:rsidP="007A7D52">
      <w:pPr>
        <w:pStyle w:val="Materialslist"/>
        <w:rPr>
          <w:color w:val="20231D"/>
        </w:rPr>
      </w:pPr>
      <w:r w:rsidRPr="00DE6B31">
        <w:rPr>
          <w:b/>
          <w:color w:val="000000"/>
        </w:rPr>
        <w:t>C3.5</w:t>
      </w:r>
      <w:r w:rsidRPr="002B606B">
        <w:rPr>
          <w:color w:val="000000"/>
        </w:rPr>
        <w:t xml:space="preserve"> </w:t>
      </w:r>
      <w:r w:rsidRPr="002B606B">
        <w:rPr>
          <w:color w:val="20231D"/>
        </w:rPr>
        <w:t>describe how the pH scale is used to identify the concentration of acids and bases</w:t>
      </w:r>
    </w:p>
    <w:p w:rsidR="007A7D52" w:rsidRDefault="00BA3A44" w:rsidP="007A7D52">
      <w:pPr>
        <w:pStyle w:val="Heading2"/>
      </w:pPr>
      <w:r w:rsidRPr="00387860">
        <w:t>Introduction</w:t>
      </w:r>
    </w:p>
    <w:p w:rsidR="00BA3A44" w:rsidRPr="002B76E1" w:rsidRDefault="00BA3A44" w:rsidP="00BA3A44">
      <w:r w:rsidRPr="002B76E1">
        <w:t>This demonstration illustrates</w:t>
      </w:r>
      <w:r>
        <w:t xml:space="preserve"> </w:t>
      </w:r>
      <w:r w:rsidRPr="002B76E1">
        <w:t xml:space="preserve">the </w:t>
      </w:r>
      <w:r>
        <w:t>presence and importance of chemistry in everyday objects, including our food</w:t>
      </w:r>
      <w:r w:rsidRPr="002B76E1">
        <w:t>.</w:t>
      </w:r>
      <w:r w:rsidR="00C273E5">
        <w:t xml:space="preserve"> </w:t>
      </w:r>
      <w:r w:rsidRPr="002B76E1">
        <w:t xml:space="preserve">It is an interesting way to start the discussion </w:t>
      </w:r>
      <w:r>
        <w:t>of acids and bases</w:t>
      </w:r>
      <w:r w:rsidRPr="002B76E1">
        <w:t xml:space="preserve"> or </w:t>
      </w:r>
      <w:r>
        <w:t xml:space="preserve">to </w:t>
      </w:r>
      <w:r w:rsidRPr="002B76E1">
        <w:t>connect acids and bases to the pH scale and extend the discussion to acid</w:t>
      </w:r>
      <w:r w:rsidR="00C273E5">
        <w:t>–</w:t>
      </w:r>
      <w:r w:rsidRPr="002B76E1">
        <w:t>base indicators.</w:t>
      </w:r>
      <w:r w:rsidR="00C273E5">
        <w:t xml:space="preserve"> </w:t>
      </w:r>
      <w:r>
        <w:t>Red cabbage is an example of a naturally-occurring acid</w:t>
      </w:r>
      <w:r w:rsidR="00C273E5">
        <w:t>–</w:t>
      </w:r>
      <w:r>
        <w:t>base indicator. Many household products are acids or bases and often products that are used for similar tasks have similar pH values.</w:t>
      </w:r>
    </w:p>
    <w:p w:rsidR="006D2E26" w:rsidRDefault="006D2E26">
      <w:pPr>
        <w:rPr>
          <w:rFonts w:ascii="Cambria" w:hAnsi="Cambria" w:cs="Arial"/>
          <w:b/>
          <w:bCs/>
          <w:iCs/>
          <w:sz w:val="28"/>
          <w:szCs w:val="28"/>
          <w:lang w:eastAsia="en-CA"/>
        </w:rPr>
      </w:pPr>
      <w:r>
        <w:rPr>
          <w:lang w:eastAsia="en-CA"/>
        </w:rPr>
        <w:br w:type="page"/>
      </w:r>
    </w:p>
    <w:p w:rsidR="007A7D52" w:rsidRDefault="00DB6C73" w:rsidP="007A7D52">
      <w:pPr>
        <w:pStyle w:val="Heading2"/>
        <w:rPr>
          <w:lang w:eastAsia="en-CA"/>
        </w:rPr>
      </w:pPr>
      <w:r>
        <w:rPr>
          <w:lang w:eastAsia="en-CA"/>
        </w:rPr>
        <w:lastRenderedPageBreak/>
        <w:t>Materials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273E5" w:rsidRPr="001A43DE" w:rsidTr="00CF1496">
        <w:tc>
          <w:tcPr>
            <w:tcW w:w="4788" w:type="dxa"/>
          </w:tcPr>
          <w:p w:rsidR="007A7D52" w:rsidRDefault="00C273E5" w:rsidP="007A7D52">
            <w:pPr>
              <w:pStyle w:val="Materialslist"/>
            </w:pPr>
            <w:r w:rsidRPr="00E055DA">
              <w:t xml:space="preserve">chemical safety goggles </w:t>
            </w:r>
          </w:p>
          <w:p w:rsidR="007A7D52" w:rsidRDefault="00C273E5" w:rsidP="007A7D52">
            <w:pPr>
              <w:pStyle w:val="Materialslist"/>
            </w:pPr>
            <w:r w:rsidRPr="00C36C92">
              <w:t>lab coat or apron</w:t>
            </w:r>
          </w:p>
          <w:p w:rsidR="007A7D52" w:rsidRDefault="00C273E5" w:rsidP="007A7D52">
            <w:pPr>
              <w:pStyle w:val="Materialslist"/>
            </w:pPr>
            <w:r w:rsidRPr="00C36C92">
              <w:t>protective gloves</w:t>
            </w:r>
          </w:p>
          <w:p w:rsidR="007A7D52" w:rsidRDefault="00D423DB" w:rsidP="007A7D52">
            <w:pPr>
              <w:pStyle w:val="Materialslist"/>
            </w:pPr>
            <w:r w:rsidRPr="002700B1">
              <w:t>red cabbage</w:t>
            </w:r>
          </w:p>
          <w:p w:rsidR="007A7D52" w:rsidRDefault="00C8755A" w:rsidP="007A7D52">
            <w:pPr>
              <w:pStyle w:val="Materialslist"/>
            </w:pPr>
            <w:r>
              <w:t>w</w:t>
            </w:r>
            <w:r w:rsidRPr="002700B1">
              <w:t>ater</w:t>
            </w:r>
          </w:p>
          <w:p w:rsidR="007A7D52" w:rsidRDefault="00D423DB" w:rsidP="007A7D52">
            <w:pPr>
              <w:pStyle w:val="Materialslist"/>
            </w:pPr>
            <w:r>
              <w:t>substances to test (e.g.</w:t>
            </w:r>
            <w:r w:rsidR="00C8755A">
              <w:t>,</w:t>
            </w:r>
            <w:r>
              <w:t xml:space="preserve"> lemon juice, white vinegar, apple juice, hand sanitizer, clear or white shampoo and conditioner, baking soda, milk, clear liquid soap)</w:t>
            </w:r>
            <w:r w:rsidR="00C8755A">
              <w:t xml:space="preserve">5 </w:t>
            </w:r>
            <w:proofErr w:type="spellStart"/>
            <w:r w:rsidR="00C8755A">
              <w:t>mL</w:t>
            </w:r>
            <w:proofErr w:type="spellEnd"/>
            <w:r w:rsidR="00C8755A">
              <w:t xml:space="preserve"> of 0.1 </w:t>
            </w:r>
            <w:r w:rsidR="00C8755A" w:rsidRPr="00C8755A">
              <w:t xml:space="preserve">mol/L hydrochloric acid, </w:t>
            </w:r>
            <w:proofErr w:type="spellStart"/>
            <w:r w:rsidR="00C8755A" w:rsidRPr="00C8755A">
              <w:t>HCl</w:t>
            </w:r>
            <w:proofErr w:type="spellEnd"/>
            <w:r w:rsidR="00C8755A" w:rsidRPr="00C8755A">
              <w:t>(</w:t>
            </w:r>
            <w:proofErr w:type="spellStart"/>
            <w:r w:rsidR="00C8755A" w:rsidRPr="00C8755A">
              <w:t>aq</w:t>
            </w:r>
            <w:proofErr w:type="spellEnd"/>
            <w:r w:rsidR="00C8755A" w:rsidRPr="00C8755A">
              <w:t>)</w:t>
            </w:r>
          </w:p>
          <w:p w:rsidR="007A7D52" w:rsidRDefault="00C8755A" w:rsidP="007A7D52">
            <w:pPr>
              <w:pStyle w:val="Materialslist"/>
            </w:pPr>
            <w:r>
              <w:t xml:space="preserve">5 </w:t>
            </w:r>
            <w:proofErr w:type="spellStart"/>
            <w:r>
              <w:t>mL</w:t>
            </w:r>
            <w:proofErr w:type="spellEnd"/>
            <w:r>
              <w:t xml:space="preserve"> of 0.1 mol/L sodium hydroxide, </w:t>
            </w:r>
            <w:proofErr w:type="spellStart"/>
            <w:r>
              <w:t>NaOH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:rsidR="00DB6C73" w:rsidRPr="002700B1" w:rsidRDefault="00DB6C73" w:rsidP="00DB6C73">
            <w:pPr>
              <w:pStyle w:val="Materialslist"/>
            </w:pPr>
            <w:r w:rsidRPr="002700B1">
              <w:t>knife or scissors</w:t>
            </w:r>
          </w:p>
          <w:p w:rsidR="007A7D52" w:rsidRDefault="00DB6C73" w:rsidP="007A7D52">
            <w:pPr>
              <w:pStyle w:val="Materialslist"/>
            </w:pPr>
            <w:r w:rsidRPr="002700B1">
              <w:t>blender</w:t>
            </w:r>
          </w:p>
        </w:tc>
        <w:tc>
          <w:tcPr>
            <w:tcW w:w="4788" w:type="dxa"/>
          </w:tcPr>
          <w:p w:rsidR="007A7D52" w:rsidRDefault="00DB6C73" w:rsidP="007A7D52">
            <w:pPr>
              <w:pStyle w:val="Materialslist"/>
            </w:pPr>
            <w:r>
              <w:t>1 L beaker</w:t>
            </w:r>
            <w:r w:rsidRPr="002700B1" w:rsidDel="00DB6C73">
              <w:t xml:space="preserve"> </w:t>
            </w:r>
          </w:p>
          <w:p w:rsidR="007A7D52" w:rsidRDefault="00D423DB" w:rsidP="007A7D52">
            <w:pPr>
              <w:pStyle w:val="Materialslist"/>
            </w:pPr>
            <w:r w:rsidRPr="002700B1">
              <w:t>strainer (or paper towels if no strainer is available)</w:t>
            </w:r>
          </w:p>
          <w:p w:rsidR="007A7D52" w:rsidRDefault="00D423DB" w:rsidP="007A7D52">
            <w:pPr>
              <w:pStyle w:val="Materialslist"/>
            </w:pPr>
            <w:r>
              <w:t>2</w:t>
            </w:r>
            <w:r w:rsidRPr="002700B1">
              <w:t>50 mL beakers (one for each substance being tested)</w:t>
            </w:r>
          </w:p>
          <w:p w:rsidR="007A7D52" w:rsidRDefault="00D423DB" w:rsidP="007A7D52">
            <w:pPr>
              <w:pStyle w:val="Materialslist"/>
            </w:pPr>
            <w:r>
              <w:t xml:space="preserve">marker for </w:t>
            </w:r>
            <w:r w:rsidR="00300436">
              <w:t>labeling</w:t>
            </w:r>
            <w:r>
              <w:t xml:space="preserve"> beakers</w:t>
            </w:r>
          </w:p>
          <w:p w:rsidR="007A7D52" w:rsidRDefault="00C8755A" w:rsidP="007A7D52">
            <w:pPr>
              <w:pStyle w:val="Materialslist"/>
            </w:pPr>
            <w:r>
              <w:t>10 mL graduated cylinder</w:t>
            </w:r>
          </w:p>
          <w:p w:rsidR="007A7D52" w:rsidRDefault="00AC7A9A" w:rsidP="007A7D52">
            <w:pPr>
              <w:pStyle w:val="Materialslist"/>
            </w:pPr>
            <w:r>
              <w:t>stirring rod</w:t>
            </w:r>
          </w:p>
          <w:p w:rsidR="007A7D52" w:rsidRDefault="00DB6C73" w:rsidP="007A7D52">
            <w:pPr>
              <w:pStyle w:val="Heading3"/>
              <w:rPr>
                <w:rFonts w:eastAsia="Calibri"/>
              </w:rPr>
            </w:pPr>
            <w:r>
              <w:rPr>
                <w:rFonts w:eastAsia="Calibri"/>
              </w:rPr>
              <w:t>Student activity will also require:</w:t>
            </w:r>
          </w:p>
          <w:p w:rsidR="007A7D52" w:rsidRDefault="00DB6C73" w:rsidP="007A7D52">
            <w:pPr>
              <w:pStyle w:val="Materialslist"/>
            </w:pPr>
            <w:r>
              <w:t xml:space="preserve">dropper bottles containing substances to be tested </w:t>
            </w:r>
            <w:r w:rsidRPr="00DB6C73">
              <w:rPr>
                <w:i/>
              </w:rPr>
              <w:t>or</w:t>
            </w:r>
            <w:r>
              <w:t xml:space="preserve"> 100 mL beakers and dropping pipettes</w:t>
            </w:r>
          </w:p>
          <w:p w:rsidR="007A7D52" w:rsidRPr="007A7D52" w:rsidRDefault="00DB6C73" w:rsidP="007A7D52">
            <w:pPr>
              <w:pStyle w:val="Materialslist"/>
            </w:pPr>
            <w:r>
              <w:t xml:space="preserve">spot plates </w:t>
            </w:r>
          </w:p>
        </w:tc>
      </w:tr>
    </w:tbl>
    <w:p w:rsidR="0095584B" w:rsidRDefault="0095584B" w:rsidP="0095584B">
      <w:pPr>
        <w:pStyle w:val="Heading2"/>
      </w:pPr>
      <w:r w:rsidRPr="001A7BC2">
        <w:t>Safety Considerations</w:t>
      </w:r>
    </w:p>
    <w:p w:rsidR="0095584B" w:rsidRDefault="0095584B" w:rsidP="0095584B">
      <w:pPr>
        <w:pStyle w:val="Bulletedlist"/>
        <w:numPr>
          <w:ilvl w:val="0"/>
          <w:numId w:val="5"/>
        </w:numPr>
        <w:ind w:left="567" w:hanging="567"/>
      </w:pPr>
      <w:r w:rsidRPr="003B3E7F">
        <w:t xml:space="preserve">Provide </w:t>
      </w:r>
      <w:r w:rsidRPr="00AC1866">
        <w:t>MSDS sheets for all chemicals used</w:t>
      </w:r>
      <w:r>
        <w:t>.</w:t>
      </w:r>
    </w:p>
    <w:p w:rsidR="0095584B" w:rsidRDefault="0095584B" w:rsidP="0095584B">
      <w:pPr>
        <w:pStyle w:val="Bulletedlist"/>
        <w:rPr>
          <w:b/>
        </w:rPr>
      </w:pPr>
      <w:r>
        <w:rPr>
          <w:lang w:eastAsia="en-CA"/>
        </w:rPr>
        <w:t xml:space="preserve">Sodium hydroxide solution is corrosive and will irritate your skin and eyes. </w:t>
      </w:r>
      <w:r w:rsidRPr="00C55E27">
        <w:rPr>
          <w:lang w:eastAsia="en-CA"/>
        </w:rPr>
        <w:t xml:space="preserve">Avoid skin or eye contact. </w:t>
      </w:r>
      <w:r>
        <w:rPr>
          <w:lang w:eastAsia="en-CA"/>
        </w:rPr>
        <w:t>Safety goggles, lab coats or aprons, and gloves must be worn at all times. Wash your hands and flush your eyes immediately if you come into contact with sodium hydroxide.</w:t>
      </w:r>
    </w:p>
    <w:p w:rsidR="0095584B" w:rsidRDefault="0095584B" w:rsidP="0095584B">
      <w:pPr>
        <w:pStyle w:val="Bulletedlist"/>
        <w:rPr>
          <w:b/>
          <w:lang w:eastAsia="en-CA"/>
        </w:rPr>
      </w:pPr>
      <w:r w:rsidRPr="00C55E27">
        <w:rPr>
          <w:lang w:eastAsia="en-CA"/>
        </w:rPr>
        <w:t xml:space="preserve">Hydrochloric acid is corrosive. Avoid skin or eye contact. Safety goggles, gloves and </w:t>
      </w:r>
      <w:r>
        <w:rPr>
          <w:lang w:eastAsia="en-CA"/>
        </w:rPr>
        <w:t>lab coat/apron</w:t>
      </w:r>
      <w:r w:rsidRPr="00C55E27">
        <w:rPr>
          <w:lang w:eastAsia="en-CA"/>
        </w:rPr>
        <w:t xml:space="preserve"> should be worn when handling. Wash your hands and flush your eyes immediately if you come into contact with </w:t>
      </w:r>
      <w:r>
        <w:rPr>
          <w:lang w:eastAsia="en-CA"/>
        </w:rPr>
        <w:t>hydrochloric acid</w:t>
      </w:r>
      <w:r w:rsidRPr="00C55E27">
        <w:rPr>
          <w:lang w:eastAsia="en-CA"/>
        </w:rPr>
        <w:t>.</w:t>
      </w:r>
    </w:p>
    <w:p w:rsidR="0095584B" w:rsidRDefault="0095584B" w:rsidP="0095584B">
      <w:pPr>
        <w:pStyle w:val="Bulletedlist"/>
        <w:rPr>
          <w:lang w:eastAsia="en-CA"/>
        </w:rPr>
      </w:pPr>
      <w:r w:rsidRPr="001A7BC2">
        <w:t>Contact with eyes should be avoided with all substances.</w:t>
      </w:r>
      <w:r>
        <w:t xml:space="preserve"> </w:t>
      </w:r>
      <w:r w:rsidRPr="001A7BC2">
        <w:t xml:space="preserve">Safety considerations will depend on substances tested. </w:t>
      </w:r>
    </w:p>
    <w:p w:rsidR="007A7D52" w:rsidRDefault="00BA3A44" w:rsidP="007A7D52">
      <w:pPr>
        <w:pStyle w:val="Heading2"/>
      </w:pPr>
      <w:r w:rsidRPr="00C446EA">
        <w:t>Hazardous Materials Identification System Rating</w:t>
      </w:r>
    </w:p>
    <w:p w:rsidR="00BA3A44" w:rsidRPr="00C446EA" w:rsidRDefault="00BA3A44" w:rsidP="00BA3A44">
      <w:pPr>
        <w:rPr>
          <w:i/>
        </w:rPr>
      </w:pPr>
      <w:r w:rsidRPr="00C446EA">
        <w:rPr>
          <w:i/>
        </w:rPr>
        <w:t xml:space="preserve"> (0-minimal 1-slight 2-moderate 3-serious 4-severe)</w:t>
      </w:r>
    </w:p>
    <w:tbl>
      <w:tblPr>
        <w:tblW w:w="0" w:type="auto"/>
        <w:tblLook w:val="04A0"/>
      </w:tblPr>
      <w:tblGrid>
        <w:gridCol w:w="2448"/>
        <w:gridCol w:w="2610"/>
      </w:tblGrid>
      <w:tr w:rsidR="00D423DB" w:rsidRPr="001D1040" w:rsidTr="00CF1496">
        <w:tc>
          <w:tcPr>
            <w:tcW w:w="2448" w:type="dxa"/>
          </w:tcPr>
          <w:p w:rsidR="007A7D52" w:rsidRDefault="00D423DB" w:rsidP="007A7D52">
            <w:r w:rsidRPr="001D1040">
              <w:t>0.1 mol/L hydrochloric acid</w:t>
            </w:r>
          </w:p>
          <w:p w:rsidR="007A7D52" w:rsidRDefault="00D423DB" w:rsidP="007A7D52">
            <w:pPr>
              <w:rPr>
                <w:highlight w:val="yello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269984" cy="790575"/>
                  <wp:effectExtent l="19050" t="0" r="6366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60" cy="79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D52" w:rsidRDefault="007A7D52" w:rsidP="007A7D52">
            <w:pPr>
              <w:rPr>
                <w:highlight w:val="yellow"/>
              </w:rPr>
            </w:pPr>
          </w:p>
        </w:tc>
        <w:tc>
          <w:tcPr>
            <w:tcW w:w="2610" w:type="dxa"/>
          </w:tcPr>
          <w:p w:rsidR="007A7D52" w:rsidRDefault="00D423DB" w:rsidP="007A7D52">
            <w:pPr>
              <w:rPr>
                <w:highlight w:val="yellow"/>
              </w:rPr>
            </w:pPr>
            <w:r w:rsidRPr="001D1040">
              <w:t>0.1 mol/L sodium hydroxide</w:t>
            </w:r>
          </w:p>
          <w:p w:rsidR="007A7D52" w:rsidRDefault="00D423DB" w:rsidP="007A7D52">
            <w:pPr>
              <w:rPr>
                <w:highlight w:val="yellow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262843" cy="786130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843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D52" w:rsidRDefault="00BA3A44" w:rsidP="007A7D52">
      <w:pPr>
        <w:pStyle w:val="Heading2"/>
      </w:pPr>
      <w:r w:rsidRPr="00151CFD">
        <w:t xml:space="preserve">Procedure </w:t>
      </w:r>
    </w:p>
    <w:p w:rsidR="001B6EBE" w:rsidRDefault="001B6EBE" w:rsidP="001B6EBE">
      <w:pPr>
        <w:rPr>
          <w:b/>
        </w:rPr>
      </w:pPr>
      <w:r w:rsidRPr="00093CC4">
        <w:t xml:space="preserve">Ensure that all participants are wearing appropriate PPE: </w:t>
      </w:r>
      <w:r>
        <w:t xml:space="preserve">chemical </w:t>
      </w:r>
      <w:r w:rsidRPr="00093CC4">
        <w:t>safety goggles</w:t>
      </w:r>
      <w:r>
        <w:t xml:space="preserve"> and</w:t>
      </w:r>
      <w:r w:rsidRPr="00093CC4">
        <w:t xml:space="preserve"> lab</w:t>
      </w:r>
      <w:r>
        <w:t xml:space="preserve"> </w:t>
      </w:r>
      <w:r w:rsidRPr="00093CC4">
        <w:t>coat</w:t>
      </w:r>
      <w:r>
        <w:t xml:space="preserve"> or </w:t>
      </w:r>
      <w:r w:rsidRPr="00093CC4">
        <w:t>apron</w:t>
      </w:r>
      <w:r>
        <w:t>.</w:t>
      </w:r>
    </w:p>
    <w:p w:rsidR="001B6EBE" w:rsidRPr="001B6EBE" w:rsidRDefault="001B6EBE" w:rsidP="001B6EBE">
      <w:bookmarkStart w:id="0" w:name="_GoBack"/>
      <w:bookmarkEnd w:id="0"/>
    </w:p>
    <w:p w:rsidR="007A7D52" w:rsidRPr="007A7D52" w:rsidRDefault="00BA3A44" w:rsidP="007A7D52">
      <w:pPr>
        <w:pStyle w:val="Numberedlist"/>
        <w:numPr>
          <w:ilvl w:val="0"/>
          <w:numId w:val="0"/>
        </w:numPr>
      </w:pPr>
      <w:r w:rsidRPr="00D423DB">
        <w:t>Prepare the following before performing the demonstration</w:t>
      </w:r>
      <w:r w:rsidR="00D423DB" w:rsidRPr="00D423DB">
        <w:t>.</w:t>
      </w:r>
      <w:r w:rsidRPr="00D423DB">
        <w:t xml:space="preserve"> (</w:t>
      </w:r>
      <w:r w:rsidR="00D423DB" w:rsidRPr="00D423DB">
        <w:t xml:space="preserve">Alternatively, </w:t>
      </w:r>
      <w:r w:rsidRPr="00D423DB">
        <w:t>the indicator could be prepared during the introduction</w:t>
      </w:r>
      <w:r w:rsidR="00D423DB" w:rsidRPr="00D423DB">
        <w:t>.</w:t>
      </w:r>
      <w:r w:rsidRPr="00D423DB">
        <w:t>)</w:t>
      </w:r>
    </w:p>
    <w:p w:rsidR="007A7D52" w:rsidRDefault="00BA3A44" w:rsidP="007A7D52">
      <w:pPr>
        <w:pStyle w:val="Numberedlist"/>
      </w:pPr>
      <w:r w:rsidRPr="00D423DB">
        <w:lastRenderedPageBreak/>
        <w:t>Cut up the red cabbage leaves and place them in the blender with 750–850 mL of water.</w:t>
      </w:r>
    </w:p>
    <w:p w:rsidR="007A7D52" w:rsidRDefault="00BA3A44" w:rsidP="007A7D52">
      <w:pPr>
        <w:pStyle w:val="Numberedlist"/>
      </w:pPr>
      <w:r w:rsidRPr="00D423DB">
        <w:t>Turn on the blender for about 30 seconds.</w:t>
      </w:r>
      <w:r w:rsidR="00C273E5" w:rsidRPr="00D423DB">
        <w:t xml:space="preserve"> </w:t>
      </w:r>
      <w:r w:rsidRPr="00D423DB">
        <w:t>Using the strainer to collect and remove any remaining cabbage leaves, pour the mixture into the 1 L beaker.</w:t>
      </w:r>
      <w:r w:rsidR="00C273E5" w:rsidRPr="00D423DB">
        <w:t xml:space="preserve"> </w:t>
      </w:r>
      <w:r w:rsidRPr="00D423DB">
        <w:t>This should produce around 500–750 mL of red cabbage juice.</w:t>
      </w:r>
    </w:p>
    <w:p w:rsidR="007A7D52" w:rsidRDefault="00BA3A44" w:rsidP="007A7D52">
      <w:pPr>
        <w:pStyle w:val="Numberedlist"/>
      </w:pPr>
      <w:r w:rsidRPr="00D423DB">
        <w:t xml:space="preserve">Pour 7–10 mL of each substance to be tested into a beaker and label accordingly. </w:t>
      </w:r>
    </w:p>
    <w:p w:rsidR="007A7D52" w:rsidRDefault="00D423DB" w:rsidP="007A7D52">
      <w:pPr>
        <w:pStyle w:val="Numberedlist"/>
        <w:numPr>
          <w:ilvl w:val="0"/>
          <w:numId w:val="0"/>
        </w:numPr>
      </w:pPr>
      <w:r w:rsidRPr="00D423DB">
        <w:t>Organize your class into groups of 2–4 students per group.</w:t>
      </w:r>
    </w:p>
    <w:p w:rsidR="007A7D52" w:rsidRDefault="007A7D52" w:rsidP="007A7D52">
      <w:pPr>
        <w:pStyle w:val="Numberedlist"/>
      </w:pPr>
      <w:r w:rsidRPr="007A7D52">
        <w:rPr>
          <w:b/>
        </w:rPr>
        <w:t>Predict/Explain</w:t>
      </w:r>
    </w:p>
    <w:p w:rsidR="007A7D52" w:rsidRDefault="00BA3A44" w:rsidP="007A7D52">
      <w:pPr>
        <w:pStyle w:val="Numberedlist"/>
        <w:numPr>
          <w:ilvl w:val="0"/>
          <w:numId w:val="0"/>
        </w:numPr>
        <w:ind w:left="567"/>
      </w:pPr>
      <w:r w:rsidRPr="00D423DB">
        <w:t>Ask each group to predict which substances will react similarly when the cabbage juice is added. Each group should also attempt to come up with a rationale for their prediction.</w:t>
      </w:r>
    </w:p>
    <w:p w:rsidR="007A7D52" w:rsidRDefault="007A7D52" w:rsidP="007A7D52">
      <w:pPr>
        <w:pStyle w:val="Numberedlist"/>
      </w:pPr>
      <w:r w:rsidRPr="007A7D52">
        <w:rPr>
          <w:b/>
        </w:rPr>
        <w:t>Observe</w:t>
      </w:r>
    </w:p>
    <w:p w:rsidR="007A7D52" w:rsidRDefault="00BA3A44" w:rsidP="007A7D52">
      <w:pPr>
        <w:pStyle w:val="Numberedlist"/>
        <w:numPr>
          <w:ilvl w:val="0"/>
          <w:numId w:val="0"/>
        </w:numPr>
        <w:ind w:left="567"/>
      </w:pPr>
      <w:r w:rsidRPr="00D423DB">
        <w:t>Using the graduated cylinder, pour 5 mL of red cabbage juice into each of the substances</w:t>
      </w:r>
      <w:r w:rsidR="00AC7A9A">
        <w:t xml:space="preserve"> to be tested,</w:t>
      </w:r>
      <w:r w:rsidRPr="00D423DB">
        <w:t xml:space="preserve"> including the hydrochloric acid and the sodium hydroxide solutions.</w:t>
      </w:r>
      <w:r w:rsidR="00C273E5" w:rsidRPr="00D423DB">
        <w:t xml:space="preserve"> </w:t>
      </w:r>
      <w:r w:rsidR="00AC7A9A">
        <w:t xml:space="preserve">Stir each one with the stirring rod. </w:t>
      </w:r>
      <w:r w:rsidRPr="00D423DB">
        <w:t>Provide time for students to record their observations.</w:t>
      </w:r>
    </w:p>
    <w:p w:rsidR="007A7D52" w:rsidRDefault="007A7D52" w:rsidP="007A7D52">
      <w:pPr>
        <w:pStyle w:val="Numberedlist"/>
      </w:pPr>
      <w:r w:rsidRPr="007A7D52">
        <w:rPr>
          <w:b/>
        </w:rPr>
        <w:t>Explain</w:t>
      </w:r>
    </w:p>
    <w:p w:rsidR="007A7D52" w:rsidRDefault="00BA3A44" w:rsidP="007A7D52">
      <w:pPr>
        <w:pStyle w:val="Numberedlist"/>
        <w:numPr>
          <w:ilvl w:val="0"/>
          <w:numId w:val="0"/>
        </w:numPr>
        <w:ind w:left="567"/>
      </w:pPr>
      <w:r w:rsidRPr="00D423DB">
        <w:t>Ask each group to discuss their results and group them based on the colours produced. Have them compare their colours to the colours obtained for the acid and base.</w:t>
      </w:r>
    </w:p>
    <w:p w:rsidR="007A7D52" w:rsidRDefault="00BA3A44" w:rsidP="007A7D52">
      <w:pPr>
        <w:pStyle w:val="Heading3"/>
      </w:pPr>
      <w:r w:rsidRPr="005147F5">
        <w:t>Alternative Procedure</w:t>
      </w:r>
      <w:r>
        <w:t xml:space="preserve"> for Student Activity</w:t>
      </w:r>
    </w:p>
    <w:p w:rsidR="007A7D52" w:rsidRDefault="00AC7A9A" w:rsidP="007A7D52">
      <w:pPr>
        <w:pStyle w:val="Numberedlist"/>
        <w:numPr>
          <w:ilvl w:val="0"/>
          <w:numId w:val="0"/>
        </w:numPr>
        <w:ind w:left="567" w:hanging="567"/>
      </w:pPr>
      <w:r>
        <w:rPr>
          <w:lang w:val="en-US"/>
        </w:rPr>
        <w:t>1.</w:t>
      </w:r>
      <w:r>
        <w:rPr>
          <w:lang w:val="en-US"/>
        </w:rPr>
        <w:tab/>
      </w:r>
      <w:r w:rsidR="00BA3A44">
        <w:t>Place each substance</w:t>
      </w:r>
      <w:r w:rsidR="0095584B">
        <w:t xml:space="preserve"> (including red cabbage indicator)</w:t>
      </w:r>
      <w:r w:rsidR="00BA3A44">
        <w:t xml:space="preserve"> into a dropper bottle or a small beaker with a dropping pipette in it.</w:t>
      </w:r>
    </w:p>
    <w:p w:rsidR="007A7D52" w:rsidRDefault="00AC7A9A" w:rsidP="007A7D52">
      <w:pPr>
        <w:pStyle w:val="Numberedlist"/>
        <w:numPr>
          <w:ilvl w:val="0"/>
          <w:numId w:val="0"/>
        </w:numPr>
        <w:ind w:left="567" w:hanging="567"/>
      </w:pPr>
      <w:r w:rsidRPr="00917D3A">
        <w:t>Organize your class into groups of 2</w:t>
      </w:r>
      <w:r>
        <w:t>–4</w:t>
      </w:r>
      <w:r w:rsidRPr="00917D3A">
        <w:t xml:space="preserve"> students.</w:t>
      </w:r>
    </w:p>
    <w:p w:rsidR="007A7D52" w:rsidRDefault="00AC7A9A" w:rsidP="007A7D52">
      <w:pPr>
        <w:pStyle w:val="Numberedlist"/>
        <w:numPr>
          <w:ilvl w:val="0"/>
          <w:numId w:val="0"/>
        </w:numPr>
        <w:ind w:left="567" w:hanging="567"/>
      </w:pPr>
      <w:r>
        <w:t>2.</w:t>
      </w:r>
      <w:r>
        <w:tab/>
      </w:r>
      <w:r w:rsidR="007A7D52" w:rsidRPr="007A7D52">
        <w:rPr>
          <w:b/>
        </w:rPr>
        <w:t>Predict/Explain</w:t>
      </w:r>
    </w:p>
    <w:p w:rsidR="007A7D52" w:rsidRDefault="00BA3A44" w:rsidP="007A7D52">
      <w:pPr>
        <w:pStyle w:val="Numberedlist"/>
        <w:numPr>
          <w:ilvl w:val="0"/>
          <w:numId w:val="0"/>
        </w:numPr>
        <w:ind w:left="567"/>
      </w:pPr>
      <w:r w:rsidRPr="00917D3A">
        <w:t xml:space="preserve">Ask each group to predict </w:t>
      </w:r>
      <w:r>
        <w:t>which substances will react similarly when the cabbage juice is added.</w:t>
      </w:r>
      <w:r w:rsidRPr="00917D3A">
        <w:t xml:space="preserve"> Each group should also attempt to come up with a rationale for their prediction.</w:t>
      </w:r>
    </w:p>
    <w:p w:rsidR="007A7D52" w:rsidRPr="007A7D52" w:rsidRDefault="00AC7A9A" w:rsidP="007A7D52">
      <w:pPr>
        <w:pStyle w:val="Numberedlist"/>
        <w:numPr>
          <w:ilvl w:val="0"/>
          <w:numId w:val="0"/>
        </w:numPr>
        <w:ind w:left="567" w:hanging="567"/>
        <w:rPr>
          <w:b/>
        </w:rPr>
      </w:pPr>
      <w:r>
        <w:t>3.</w:t>
      </w:r>
      <w:r>
        <w:tab/>
      </w:r>
      <w:r w:rsidR="007A7D52" w:rsidRPr="007A7D52">
        <w:rPr>
          <w:b/>
        </w:rPr>
        <w:t>Observe</w:t>
      </w:r>
    </w:p>
    <w:p w:rsidR="007A7D52" w:rsidRDefault="00AC7A9A" w:rsidP="007A7D52">
      <w:pPr>
        <w:pStyle w:val="Numberedlist"/>
        <w:numPr>
          <w:ilvl w:val="0"/>
          <w:numId w:val="0"/>
        </w:numPr>
        <w:ind w:left="567"/>
      </w:pPr>
      <w:r>
        <w:t xml:space="preserve">Students should place </w:t>
      </w:r>
      <w:r w:rsidR="00BA3A44">
        <w:t>1</w:t>
      </w:r>
      <w:r>
        <w:t>–</w:t>
      </w:r>
      <w:r w:rsidR="00BA3A44">
        <w:t>2 drops of the substance to be tested</w:t>
      </w:r>
      <w:r>
        <w:t xml:space="preserve"> (including hydrochloric acid and sodium hydroxide solution)</w:t>
      </w:r>
      <w:r w:rsidR="00BA3A44">
        <w:t xml:space="preserve"> in a cell of a spot plate.</w:t>
      </w:r>
      <w:r w:rsidR="00C273E5">
        <w:t xml:space="preserve"> </w:t>
      </w:r>
      <w:r>
        <w:t xml:space="preserve">They should then add </w:t>
      </w:r>
      <w:r w:rsidR="00BA3A44">
        <w:t>1 drop of cabbage juice</w:t>
      </w:r>
      <w:r>
        <w:t xml:space="preserve"> to each cell, and r</w:t>
      </w:r>
      <w:r w:rsidR="00BA3A44">
        <w:t>ecord the colour.</w:t>
      </w:r>
    </w:p>
    <w:p w:rsidR="007A7D52" w:rsidRDefault="00AC7A9A" w:rsidP="007A7D52">
      <w:pPr>
        <w:pStyle w:val="Numberedlist"/>
        <w:numPr>
          <w:ilvl w:val="0"/>
          <w:numId w:val="0"/>
        </w:numPr>
        <w:ind w:left="567" w:hanging="567"/>
      </w:pPr>
      <w:r>
        <w:t xml:space="preserve">4. </w:t>
      </w:r>
      <w:r>
        <w:tab/>
      </w:r>
      <w:r w:rsidR="007A7D52" w:rsidRPr="007A7D52">
        <w:rPr>
          <w:b/>
        </w:rPr>
        <w:t>Explain</w:t>
      </w:r>
    </w:p>
    <w:p w:rsidR="007A7D52" w:rsidRDefault="00BA3A44" w:rsidP="007A7D52">
      <w:pPr>
        <w:pStyle w:val="Numberedlist"/>
        <w:numPr>
          <w:ilvl w:val="0"/>
          <w:numId w:val="0"/>
        </w:numPr>
        <w:ind w:left="567"/>
      </w:pPr>
      <w:r w:rsidRPr="00917D3A">
        <w:t xml:space="preserve">Ask </w:t>
      </w:r>
      <w:r>
        <w:t>each</w:t>
      </w:r>
      <w:r w:rsidRPr="00917D3A">
        <w:t xml:space="preserve"> group to </w:t>
      </w:r>
      <w:r>
        <w:t>discuss their results and group them based on the colours produced. Have them compare their colours to the colours obtained for the acid and base.</w:t>
      </w:r>
    </w:p>
    <w:p w:rsidR="007A7D52" w:rsidRDefault="00BA3A44" w:rsidP="007A7D52">
      <w:pPr>
        <w:pStyle w:val="Heading2"/>
      </w:pPr>
      <w:r w:rsidRPr="001A7BC2">
        <w:t>Disposal</w:t>
      </w:r>
    </w:p>
    <w:p w:rsidR="00BA3A44" w:rsidRPr="001A7BC2" w:rsidRDefault="00BA3A44" w:rsidP="00BA3A44">
      <w:r>
        <w:t>Dilute acid and base can be added together to neutralize them. Household products can be rinsed down the drain.</w:t>
      </w:r>
      <w:r w:rsidR="00C273E5">
        <w:t xml:space="preserve"> </w:t>
      </w:r>
      <w:r w:rsidRPr="001A7BC2">
        <w:t xml:space="preserve">Follow </w:t>
      </w:r>
      <w:r w:rsidR="00DB6C73">
        <w:t xml:space="preserve">disposal </w:t>
      </w:r>
      <w:r w:rsidRPr="001A7BC2">
        <w:t xml:space="preserve">procedures that are consistent with school board protocol and appropriate for your municipality for all substances chosen </w:t>
      </w:r>
      <w:r w:rsidRPr="0052729C">
        <w:t>for testing.</w:t>
      </w:r>
    </w:p>
    <w:p w:rsidR="007A7D52" w:rsidRDefault="00BA3A44" w:rsidP="007A7D52">
      <w:pPr>
        <w:pStyle w:val="Heading2"/>
      </w:pPr>
      <w:r w:rsidRPr="006A49C2">
        <w:t>What happens?</w:t>
      </w:r>
    </w:p>
    <w:p w:rsidR="00BA3A44" w:rsidRPr="00CA444C" w:rsidRDefault="00BA3A44" w:rsidP="00BA3A44">
      <w:pPr>
        <w:rPr>
          <w:highlight w:val="yellow"/>
        </w:rPr>
      </w:pPr>
      <w:r>
        <w:t xml:space="preserve">The red cabbage juice changes </w:t>
      </w:r>
      <w:proofErr w:type="spellStart"/>
      <w:r>
        <w:t>colour</w:t>
      </w:r>
      <w:proofErr w:type="spellEnd"/>
      <w:r w:rsidR="00B16AA7">
        <w:t xml:space="preserve"> </w:t>
      </w:r>
      <w:r>
        <w:t>when mixed with the test substances.</w:t>
      </w:r>
      <w:r w:rsidR="00B16AA7">
        <w:t xml:space="preserve"> The </w:t>
      </w:r>
      <w:proofErr w:type="spellStart"/>
      <w:r w:rsidR="00B16AA7">
        <w:t>colour</w:t>
      </w:r>
      <w:proofErr w:type="spellEnd"/>
      <w:r w:rsidR="00B16AA7">
        <w:t xml:space="preserve"> depends on the pH of the solution.</w:t>
      </w:r>
    </w:p>
    <w:p w:rsidR="007A7D52" w:rsidRDefault="00BA3A44" w:rsidP="007A7D52">
      <w:pPr>
        <w:pStyle w:val="Heading2"/>
      </w:pPr>
      <w:r w:rsidRPr="005809D7">
        <w:t xml:space="preserve">How does it work? </w:t>
      </w:r>
    </w:p>
    <w:p w:rsidR="00BA3A44" w:rsidRDefault="00BA3A44" w:rsidP="00BA3A44">
      <w:r w:rsidRPr="005809D7">
        <w:t xml:space="preserve">Red cabbage contains </w:t>
      </w:r>
      <w:r>
        <w:t>a water-soluble pigment</w:t>
      </w:r>
      <w:r w:rsidR="00534680">
        <w:t xml:space="preserve"> that</w:t>
      </w:r>
      <w:r w:rsidR="0008660B">
        <w:t xml:space="preserve"> is one of a group of compounds</w:t>
      </w:r>
      <w:r>
        <w:t xml:space="preserve"> called </w:t>
      </w:r>
      <w:proofErr w:type="spellStart"/>
      <w:r w:rsidRPr="005809D7">
        <w:t>anthocyanin</w:t>
      </w:r>
      <w:r w:rsidR="0008660B">
        <w:t>s</w:t>
      </w:r>
      <w:proofErr w:type="spellEnd"/>
      <w:r w:rsidRPr="005809D7">
        <w:t>.</w:t>
      </w:r>
      <w:r w:rsidR="00C273E5">
        <w:t xml:space="preserve"> </w:t>
      </w:r>
      <w:proofErr w:type="spellStart"/>
      <w:r w:rsidR="00534680" w:rsidRPr="003638CA">
        <w:t>Anthocyanins</w:t>
      </w:r>
      <w:proofErr w:type="spellEnd"/>
      <w:r w:rsidR="00534680" w:rsidRPr="003638CA">
        <w:t xml:space="preserve"> are found in cell vacuoles of plants, contributing to the </w:t>
      </w:r>
      <w:proofErr w:type="spellStart"/>
      <w:r w:rsidR="00534680" w:rsidRPr="003638CA">
        <w:t>colours</w:t>
      </w:r>
      <w:proofErr w:type="spellEnd"/>
      <w:r w:rsidR="00534680" w:rsidRPr="003638CA">
        <w:t xml:space="preserve"> of many fruits and vegetables such as eggplant, cherries</w:t>
      </w:r>
      <w:r w:rsidR="00534680">
        <w:t>,</w:t>
      </w:r>
      <w:r w:rsidR="00534680" w:rsidRPr="003638CA">
        <w:t xml:space="preserve"> and many berries.</w:t>
      </w:r>
      <w:r w:rsidR="001E2FCF">
        <w:t xml:space="preserve"> </w:t>
      </w:r>
      <w:r w:rsidR="00534680">
        <w:t xml:space="preserve">Many </w:t>
      </w:r>
      <w:proofErr w:type="spellStart"/>
      <w:r w:rsidR="00534680">
        <w:t>anthocyanins</w:t>
      </w:r>
      <w:proofErr w:type="spellEnd"/>
      <w:r w:rsidRPr="005809D7">
        <w:t xml:space="preserve"> act </w:t>
      </w:r>
      <w:r w:rsidRPr="005809D7">
        <w:lastRenderedPageBreak/>
        <w:t>as acid</w:t>
      </w:r>
      <w:r w:rsidR="00B16AA7">
        <w:t>–</w:t>
      </w:r>
      <w:r w:rsidRPr="005809D7">
        <w:t>base indicator</w:t>
      </w:r>
      <w:r w:rsidR="00534680">
        <w:t>s</w:t>
      </w:r>
      <w:r w:rsidRPr="005809D7">
        <w:t xml:space="preserve">, changing </w:t>
      </w:r>
      <w:proofErr w:type="spellStart"/>
      <w:r w:rsidRPr="005809D7">
        <w:t>colour</w:t>
      </w:r>
      <w:proofErr w:type="spellEnd"/>
      <w:r w:rsidRPr="005809D7">
        <w:t xml:space="preserve"> when</w:t>
      </w:r>
      <w:r>
        <w:t xml:space="preserve"> in different pH environments</w:t>
      </w:r>
      <w:r w:rsidR="0095584B">
        <w:t xml:space="preserve">. The </w:t>
      </w:r>
      <w:proofErr w:type="spellStart"/>
      <w:r w:rsidR="0095584B">
        <w:t>colour</w:t>
      </w:r>
      <w:proofErr w:type="spellEnd"/>
      <w:r w:rsidR="0095584B">
        <w:t xml:space="preserve"> </w:t>
      </w:r>
      <w:r w:rsidR="00534680">
        <w:t>changes for the pigment in red cabbage are shown in</w:t>
      </w:r>
      <w:r>
        <w:t xml:space="preserve"> the following table:</w:t>
      </w:r>
    </w:p>
    <w:p w:rsidR="00BA3A44" w:rsidRPr="005809D7" w:rsidRDefault="00BA3A44" w:rsidP="00BA3A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1319"/>
        <w:gridCol w:w="1315"/>
        <w:gridCol w:w="1336"/>
        <w:gridCol w:w="1320"/>
        <w:gridCol w:w="1332"/>
        <w:gridCol w:w="1348"/>
      </w:tblGrid>
      <w:tr w:rsidR="00BA3A44" w:rsidRPr="001D1040" w:rsidTr="00CF1496">
        <w:tc>
          <w:tcPr>
            <w:tcW w:w="1605" w:type="dxa"/>
          </w:tcPr>
          <w:p w:rsidR="00BA3A44" w:rsidRPr="0095584B" w:rsidRDefault="00BA3A44" w:rsidP="00CF1496">
            <w:pPr>
              <w:jc w:val="center"/>
              <w:rPr>
                <w:b/>
              </w:rPr>
            </w:pPr>
            <w:proofErr w:type="spellStart"/>
            <w:r w:rsidRPr="0095584B">
              <w:rPr>
                <w:b/>
              </w:rPr>
              <w:t>Colour</w:t>
            </w:r>
            <w:proofErr w:type="spellEnd"/>
          </w:p>
        </w:tc>
        <w:tc>
          <w:tcPr>
            <w:tcW w:w="1316" w:type="dxa"/>
            <w:shd w:val="clear" w:color="auto" w:fill="FF00FF"/>
          </w:tcPr>
          <w:p w:rsidR="00BA3A44" w:rsidRPr="001D1040" w:rsidRDefault="00BA3A44" w:rsidP="00CF1496">
            <w:pPr>
              <w:jc w:val="center"/>
            </w:pPr>
            <w:r w:rsidRPr="001D1040">
              <w:t>Pink</w:t>
            </w:r>
          </w:p>
        </w:tc>
        <w:tc>
          <w:tcPr>
            <w:tcW w:w="1311" w:type="dxa"/>
            <w:shd w:val="clear" w:color="auto" w:fill="CC3300"/>
          </w:tcPr>
          <w:p w:rsidR="00BA3A44" w:rsidRPr="001D1040" w:rsidRDefault="00BA3A44" w:rsidP="00CF1496">
            <w:pPr>
              <w:jc w:val="center"/>
            </w:pPr>
            <w:r w:rsidRPr="001D1040">
              <w:t>Red</w:t>
            </w:r>
          </w:p>
        </w:tc>
        <w:tc>
          <w:tcPr>
            <w:tcW w:w="1340" w:type="dxa"/>
            <w:shd w:val="clear" w:color="auto" w:fill="990099"/>
          </w:tcPr>
          <w:p w:rsidR="00BA3A44" w:rsidRPr="001D1040" w:rsidRDefault="00BA3A44" w:rsidP="00CF1496">
            <w:pPr>
              <w:jc w:val="center"/>
            </w:pPr>
            <w:r w:rsidRPr="001D1040">
              <w:t>Violet</w:t>
            </w:r>
          </w:p>
        </w:tc>
        <w:tc>
          <w:tcPr>
            <w:tcW w:w="1315" w:type="dxa"/>
            <w:shd w:val="clear" w:color="auto" w:fill="0000FF"/>
          </w:tcPr>
          <w:p w:rsidR="00BA3A44" w:rsidRPr="001D1040" w:rsidRDefault="00BA3A44" w:rsidP="00CF1496">
            <w:pPr>
              <w:jc w:val="center"/>
            </w:pPr>
            <w:r w:rsidRPr="001D1040">
              <w:t>Blue</w:t>
            </w:r>
          </w:p>
        </w:tc>
        <w:tc>
          <w:tcPr>
            <w:tcW w:w="1338" w:type="dxa"/>
            <w:shd w:val="clear" w:color="auto" w:fill="33CCCC"/>
          </w:tcPr>
          <w:p w:rsidR="00BA3A44" w:rsidRPr="001D1040" w:rsidRDefault="00BA3A44" w:rsidP="00CF1496">
            <w:pPr>
              <w:jc w:val="center"/>
            </w:pPr>
            <w:r w:rsidRPr="001D1040">
              <w:t xml:space="preserve">Bluish </w:t>
            </w:r>
            <w:r w:rsidR="0008660B">
              <w:t>g</w:t>
            </w:r>
            <w:r w:rsidRPr="001D1040">
              <w:t>reen</w:t>
            </w:r>
          </w:p>
        </w:tc>
        <w:tc>
          <w:tcPr>
            <w:tcW w:w="1351" w:type="dxa"/>
            <w:shd w:val="clear" w:color="auto" w:fill="CCFF33"/>
          </w:tcPr>
          <w:p w:rsidR="00BA3A44" w:rsidRPr="001D1040" w:rsidRDefault="00BA3A44" w:rsidP="00CF1496">
            <w:pPr>
              <w:jc w:val="center"/>
            </w:pPr>
            <w:r w:rsidRPr="001D1040">
              <w:t xml:space="preserve">Greenish </w:t>
            </w:r>
            <w:r w:rsidR="0008660B">
              <w:t>y</w:t>
            </w:r>
            <w:r w:rsidRPr="001D1040">
              <w:t>ellow</w:t>
            </w:r>
          </w:p>
        </w:tc>
      </w:tr>
      <w:tr w:rsidR="00BA3A44" w:rsidRPr="001D1040" w:rsidTr="00CF1496">
        <w:tc>
          <w:tcPr>
            <w:tcW w:w="1368" w:type="dxa"/>
          </w:tcPr>
          <w:p w:rsidR="00BA3A44" w:rsidRPr="0095584B" w:rsidRDefault="00BA3A44" w:rsidP="00CF1496">
            <w:pPr>
              <w:jc w:val="center"/>
              <w:rPr>
                <w:b/>
              </w:rPr>
            </w:pPr>
            <w:r w:rsidRPr="0095584B">
              <w:rPr>
                <w:b/>
              </w:rPr>
              <w:t>Approximate pH</w:t>
            </w:r>
          </w:p>
        </w:tc>
        <w:tc>
          <w:tcPr>
            <w:tcW w:w="1368" w:type="dxa"/>
          </w:tcPr>
          <w:p w:rsidR="00BA3A44" w:rsidRPr="001D1040" w:rsidRDefault="00BA3A44" w:rsidP="00CF1496">
            <w:pPr>
              <w:jc w:val="center"/>
            </w:pPr>
            <w:r w:rsidRPr="001D1040">
              <w:t>1</w:t>
            </w:r>
          </w:p>
        </w:tc>
        <w:tc>
          <w:tcPr>
            <w:tcW w:w="1368" w:type="dxa"/>
          </w:tcPr>
          <w:p w:rsidR="00BA3A44" w:rsidRPr="001D1040" w:rsidRDefault="00BA3A44" w:rsidP="00CF1496">
            <w:pPr>
              <w:jc w:val="center"/>
            </w:pPr>
            <w:r w:rsidRPr="001D1040">
              <w:t>3</w:t>
            </w:r>
          </w:p>
        </w:tc>
        <w:tc>
          <w:tcPr>
            <w:tcW w:w="1368" w:type="dxa"/>
          </w:tcPr>
          <w:p w:rsidR="00BA3A44" w:rsidRPr="001D1040" w:rsidRDefault="00BA3A44" w:rsidP="00CF1496">
            <w:pPr>
              <w:jc w:val="center"/>
            </w:pPr>
            <w:r w:rsidRPr="001D1040">
              <w:t>5</w:t>
            </w:r>
            <w:r w:rsidR="00B16AA7">
              <w:t>–</w:t>
            </w:r>
            <w:r w:rsidRPr="001D1040">
              <w:t>7</w:t>
            </w:r>
          </w:p>
        </w:tc>
        <w:tc>
          <w:tcPr>
            <w:tcW w:w="1368" w:type="dxa"/>
          </w:tcPr>
          <w:p w:rsidR="00BA3A44" w:rsidRPr="001D1040" w:rsidRDefault="00BA3A44" w:rsidP="00CF1496">
            <w:pPr>
              <w:jc w:val="center"/>
            </w:pPr>
            <w:r w:rsidRPr="001D1040">
              <w:t>8</w:t>
            </w:r>
          </w:p>
        </w:tc>
        <w:tc>
          <w:tcPr>
            <w:tcW w:w="1368" w:type="dxa"/>
          </w:tcPr>
          <w:p w:rsidR="00BA3A44" w:rsidRPr="001D1040" w:rsidRDefault="00BA3A44" w:rsidP="00CF1496">
            <w:pPr>
              <w:jc w:val="center"/>
            </w:pPr>
            <w:r w:rsidRPr="001D1040">
              <w:t>9</w:t>
            </w:r>
          </w:p>
        </w:tc>
        <w:tc>
          <w:tcPr>
            <w:tcW w:w="1368" w:type="dxa"/>
          </w:tcPr>
          <w:p w:rsidR="00BA3A44" w:rsidRPr="001D1040" w:rsidRDefault="00BA3A44" w:rsidP="00CF1496">
            <w:pPr>
              <w:jc w:val="center"/>
            </w:pPr>
            <w:r w:rsidRPr="001D1040">
              <w:t>11</w:t>
            </w:r>
          </w:p>
        </w:tc>
      </w:tr>
      <w:tr w:rsidR="00BA3A44" w:rsidRPr="001D1040" w:rsidTr="00CF1496">
        <w:tc>
          <w:tcPr>
            <w:tcW w:w="1368" w:type="dxa"/>
          </w:tcPr>
          <w:p w:rsidR="00BA3A44" w:rsidRPr="0095584B" w:rsidRDefault="00BA3A44" w:rsidP="00CF1496">
            <w:pPr>
              <w:jc w:val="center"/>
              <w:rPr>
                <w:b/>
              </w:rPr>
            </w:pPr>
            <w:r w:rsidRPr="0095584B">
              <w:rPr>
                <w:b/>
              </w:rPr>
              <w:t>Classification</w:t>
            </w:r>
          </w:p>
        </w:tc>
        <w:tc>
          <w:tcPr>
            <w:tcW w:w="2627" w:type="dxa"/>
            <w:gridSpan w:val="2"/>
          </w:tcPr>
          <w:p w:rsidR="00BA3A44" w:rsidRPr="001D1040" w:rsidRDefault="00B16AA7" w:rsidP="00CF1496">
            <w:pPr>
              <w:jc w:val="center"/>
            </w:pPr>
            <w:r>
              <w:t>a</w:t>
            </w:r>
            <w:r w:rsidR="00BA3A44" w:rsidRPr="001D1040">
              <w:t>cidic</w:t>
            </w:r>
          </w:p>
        </w:tc>
        <w:tc>
          <w:tcPr>
            <w:tcW w:w="1368" w:type="dxa"/>
          </w:tcPr>
          <w:p w:rsidR="00BA3A44" w:rsidRPr="001D1040" w:rsidRDefault="00B16AA7" w:rsidP="00CF1496">
            <w:pPr>
              <w:jc w:val="center"/>
            </w:pPr>
            <w:r>
              <w:t>a</w:t>
            </w:r>
            <w:r w:rsidR="00BA3A44" w:rsidRPr="001D1040">
              <w:t>cidic</w:t>
            </w:r>
            <w:r>
              <w:t>–n</w:t>
            </w:r>
            <w:r w:rsidR="00BA3A44" w:rsidRPr="001D1040">
              <w:t>eutral</w:t>
            </w:r>
          </w:p>
        </w:tc>
        <w:tc>
          <w:tcPr>
            <w:tcW w:w="4010" w:type="dxa"/>
            <w:gridSpan w:val="3"/>
          </w:tcPr>
          <w:p w:rsidR="00BA3A44" w:rsidRPr="001D1040" w:rsidRDefault="00B16AA7" w:rsidP="00CF1496">
            <w:pPr>
              <w:jc w:val="center"/>
            </w:pPr>
            <w:r>
              <w:t>b</w:t>
            </w:r>
            <w:r w:rsidR="00BA3A44" w:rsidRPr="001D1040">
              <w:t>asic</w:t>
            </w:r>
          </w:p>
        </w:tc>
      </w:tr>
    </w:tbl>
    <w:p w:rsidR="00BA3A44" w:rsidRDefault="00BA3A44" w:rsidP="00BA3A44">
      <w:pPr>
        <w:rPr>
          <w:b/>
          <w:highlight w:val="yellow"/>
        </w:rPr>
      </w:pPr>
    </w:p>
    <w:p w:rsidR="00BA3A44" w:rsidRPr="003638CA" w:rsidRDefault="00BA3A44" w:rsidP="00BA3A44">
      <w:r>
        <w:rPr>
          <w:noProof/>
          <w:lang w:val="en-CA" w:eastAsia="en-CA"/>
        </w:rPr>
        <w:drawing>
          <wp:inline distT="0" distB="0" distL="0" distR="0">
            <wp:extent cx="2494280" cy="1616710"/>
            <wp:effectExtent l="19050" t="0" r="127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8CA">
        <w:rPr>
          <w:noProof/>
          <w:lang w:eastAsia="en-CA"/>
        </w:rPr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2611755" cy="185102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44" w:rsidRPr="003638CA" w:rsidRDefault="0008660B" w:rsidP="00BA3A44">
      <w:pPr>
        <w:ind w:left="720" w:firstLine="720"/>
      </w:pPr>
      <w:proofErr w:type="gramStart"/>
      <w:r>
        <w:t>p</w:t>
      </w:r>
      <w:r w:rsidR="00BA3A44" w:rsidRPr="003638CA">
        <w:t>ink</w:t>
      </w:r>
      <w:r w:rsidR="00534680">
        <w:t>–</w:t>
      </w:r>
      <w:r w:rsidR="00BA3A44" w:rsidRPr="003638CA">
        <w:t>red</w:t>
      </w:r>
      <w:proofErr w:type="gramEnd"/>
      <w:r w:rsidR="00BA3A44" w:rsidRPr="003638CA">
        <w:tab/>
      </w:r>
      <w:r w:rsidR="00BA3A44" w:rsidRPr="003638CA">
        <w:tab/>
      </w:r>
      <w:r w:rsidR="00BA3A44" w:rsidRPr="003638CA">
        <w:tab/>
      </w:r>
      <w:r w:rsidR="00BA3A44" w:rsidRPr="003638CA">
        <w:tab/>
      </w:r>
      <w:r w:rsidR="00BA3A44" w:rsidRPr="003638CA">
        <w:tab/>
        <w:t>blue</w:t>
      </w:r>
      <w:r w:rsidR="00534680">
        <w:t>–</w:t>
      </w:r>
      <w:r w:rsidR="00BA3A44" w:rsidRPr="003638CA">
        <w:t>green</w:t>
      </w:r>
      <w:r w:rsidR="00534680">
        <w:t>–</w:t>
      </w:r>
      <w:r w:rsidR="00BA3A44" w:rsidRPr="003638CA">
        <w:t>yellow</w:t>
      </w:r>
    </w:p>
    <w:p w:rsidR="00BA3A44" w:rsidRDefault="00BA3A44" w:rsidP="00BA3A44">
      <w:pPr>
        <w:rPr>
          <w:b/>
        </w:rPr>
      </w:pPr>
    </w:p>
    <w:p w:rsidR="007A7D52" w:rsidRDefault="00BA3A44" w:rsidP="007A7D52">
      <w:pPr>
        <w:pStyle w:val="Heading2"/>
      </w:pPr>
      <w:r w:rsidRPr="003833C7">
        <w:t>Teaching Suggestions/Hints</w:t>
      </w:r>
    </w:p>
    <w:p w:rsidR="006B3C02" w:rsidRDefault="000569C2" w:rsidP="000569C2">
      <w:pPr>
        <w:pStyle w:val="Numberedlist"/>
        <w:numPr>
          <w:ilvl w:val="0"/>
          <w:numId w:val="0"/>
        </w:numPr>
        <w:ind w:left="567" w:hanging="567"/>
      </w:pPr>
      <w:r>
        <w:rPr>
          <w:lang w:val="en-US"/>
        </w:rPr>
        <w:t>1.</w:t>
      </w:r>
      <w:r>
        <w:rPr>
          <w:lang w:val="en-US"/>
        </w:rPr>
        <w:tab/>
      </w:r>
      <w:r w:rsidR="00BA3A44" w:rsidRPr="00DE6B31">
        <w:t>This demonstration can be modified very easily into a student activity.</w:t>
      </w:r>
      <w:r w:rsidR="00C273E5">
        <w:t xml:space="preserve"> </w:t>
      </w:r>
      <w:r w:rsidR="00BA3A44" w:rsidRPr="00DE6B31">
        <w:t xml:space="preserve">To emphasize the fact that </w:t>
      </w:r>
      <w:r w:rsidR="00BA3A44">
        <w:t xml:space="preserve">red cabbage juice </w:t>
      </w:r>
      <w:r w:rsidR="00BA3A44" w:rsidRPr="00DE6B31">
        <w:t xml:space="preserve">is a naturally occurring indicator, students can make their own </w:t>
      </w:r>
      <w:r w:rsidR="00BA3A44">
        <w:t>red cabbage juice extract</w:t>
      </w:r>
      <w:r w:rsidR="00BA3A44" w:rsidRPr="00DE6B31">
        <w:t>.</w:t>
      </w:r>
      <w:r w:rsidR="00C273E5">
        <w:t xml:space="preserve"> </w:t>
      </w:r>
      <w:r w:rsidR="00BA3A44" w:rsidRPr="00DE6B31">
        <w:t xml:space="preserve">If time and/or equipment are </w:t>
      </w:r>
      <w:r w:rsidR="00BA3A44">
        <w:t xml:space="preserve">a </w:t>
      </w:r>
      <w:r w:rsidR="00BA3A44" w:rsidRPr="00DE6B31">
        <w:t>concern, the indicator can be prepared ahead of time by the teacher.</w:t>
      </w:r>
    </w:p>
    <w:p w:rsidR="004372B3" w:rsidRDefault="000569C2" w:rsidP="000569C2">
      <w:pPr>
        <w:pStyle w:val="Numberedlist"/>
        <w:numPr>
          <w:ilvl w:val="0"/>
          <w:numId w:val="0"/>
        </w:numPr>
        <w:ind w:left="567" w:hanging="567"/>
      </w:pPr>
      <w:r>
        <w:t>2.</w:t>
      </w:r>
      <w:r>
        <w:tab/>
      </w:r>
      <w:r w:rsidR="005E7D39" w:rsidRPr="005E7D39">
        <w:t xml:space="preserve">Each substance can be tested with a pH meter, so students can see that the colour change is associated with the pH, rather than as a result of some other chemical reaction. Knowing the colour of each substance and its pH, </w:t>
      </w:r>
      <w:r w:rsidR="0095584B">
        <w:t>students</w:t>
      </w:r>
      <w:r w:rsidR="0095584B" w:rsidRPr="005E7D39">
        <w:t xml:space="preserve"> </w:t>
      </w:r>
      <w:r w:rsidR="005E7D39" w:rsidRPr="005E7D39">
        <w:t xml:space="preserve">could create their own table of colour and pH, similar to the chart provided. Then the charts and natural indicators could be used to find the pH of a mystery solution. Different charts could be created for different indicators. </w:t>
      </w:r>
    </w:p>
    <w:p w:rsidR="00563656" w:rsidRDefault="000569C2" w:rsidP="000569C2">
      <w:pPr>
        <w:pStyle w:val="Numberedlist"/>
        <w:numPr>
          <w:ilvl w:val="0"/>
          <w:numId w:val="0"/>
        </w:numPr>
        <w:ind w:left="567" w:hanging="567"/>
      </w:pPr>
      <w:r>
        <w:t>3.</w:t>
      </w:r>
      <w:r>
        <w:tab/>
      </w:r>
      <w:r w:rsidR="00BA3A44">
        <w:t>If you do not have access to a blender, the red cabbage leaves can be boiled in water</w:t>
      </w:r>
      <w:r w:rsidR="007B2D60">
        <w:t xml:space="preserve"> </w:t>
      </w:r>
      <w:r w:rsidR="00BA3A44">
        <w:t>and then strained to produce the red cabbage juice to use as the indicator solution.</w:t>
      </w:r>
    </w:p>
    <w:p w:rsidR="00563656" w:rsidRDefault="00E145F0" w:rsidP="000569C2">
      <w:pPr>
        <w:pStyle w:val="Numberedlist"/>
        <w:numPr>
          <w:ilvl w:val="0"/>
          <w:numId w:val="0"/>
        </w:numPr>
        <w:ind w:left="567" w:hanging="567"/>
      </w:pPr>
      <w:r>
        <w:t>4</w:t>
      </w:r>
      <w:r w:rsidR="00534680">
        <w:t>.</w:t>
      </w:r>
      <w:r w:rsidR="000569C2">
        <w:tab/>
      </w:r>
      <w:r w:rsidR="00BA3A44" w:rsidRPr="00CE1560">
        <w:t xml:space="preserve">When choosing substances to test, choose substances with a </w:t>
      </w:r>
      <w:r w:rsidR="00534680">
        <w:t>range</w:t>
      </w:r>
      <w:r w:rsidR="00534680" w:rsidRPr="00CE1560">
        <w:t xml:space="preserve"> </w:t>
      </w:r>
      <w:r w:rsidR="00BA3A44" w:rsidRPr="00CE1560">
        <w:t xml:space="preserve">of pH </w:t>
      </w:r>
      <w:r w:rsidR="00534680">
        <w:t>value</w:t>
      </w:r>
      <w:r w:rsidR="00534680" w:rsidRPr="00CE1560">
        <w:t>s</w:t>
      </w:r>
      <w:r w:rsidR="00BA3A44" w:rsidRPr="00CE1560">
        <w:t>.</w:t>
      </w:r>
      <w:r w:rsidR="00C273E5">
        <w:t xml:space="preserve"> </w:t>
      </w:r>
      <w:r w:rsidR="00BA3A44" w:rsidRPr="00CE1560">
        <w:t xml:space="preserve">For </w:t>
      </w:r>
      <w:r w:rsidR="00534680">
        <w:t xml:space="preserve">the </w:t>
      </w:r>
      <w:r w:rsidR="00BA3A44" w:rsidRPr="00CE1560">
        <w:t xml:space="preserve">pH of common substances, see the link in </w:t>
      </w:r>
      <w:r w:rsidR="00534680">
        <w:t>A</w:t>
      </w:r>
      <w:r w:rsidR="00534680" w:rsidRPr="00CE1560">
        <w:t xml:space="preserve">dditional </w:t>
      </w:r>
      <w:r w:rsidR="00534680">
        <w:t>R</w:t>
      </w:r>
      <w:r w:rsidR="00BA3A44" w:rsidRPr="00CE1560">
        <w:t>esources below.</w:t>
      </w:r>
    </w:p>
    <w:p w:rsidR="00563656" w:rsidRDefault="00E145F0" w:rsidP="000569C2">
      <w:pPr>
        <w:pStyle w:val="Numberedlist"/>
        <w:numPr>
          <w:ilvl w:val="0"/>
          <w:numId w:val="0"/>
        </w:numPr>
        <w:ind w:left="567" w:hanging="567"/>
      </w:pPr>
      <w:r>
        <w:t>5</w:t>
      </w:r>
      <w:r w:rsidR="00534680">
        <w:t>.</w:t>
      </w:r>
      <w:r w:rsidR="000569C2">
        <w:tab/>
      </w:r>
      <w:proofErr w:type="gramStart"/>
      <w:r w:rsidR="00BA3A44">
        <w:t>pH</w:t>
      </w:r>
      <w:proofErr w:type="gramEnd"/>
      <w:r w:rsidR="00BA3A44">
        <w:t xml:space="preserve"> indicator paper can be created by soaking strips of filter paper in red cabbage juice and allowing them to dry.</w:t>
      </w:r>
    </w:p>
    <w:p w:rsidR="00563656" w:rsidRDefault="00E145F0" w:rsidP="000569C2">
      <w:pPr>
        <w:pStyle w:val="Numberedlist"/>
        <w:numPr>
          <w:ilvl w:val="0"/>
          <w:numId w:val="0"/>
        </w:numPr>
        <w:ind w:left="567" w:hanging="567"/>
      </w:pPr>
      <w:r>
        <w:t>6</w:t>
      </w:r>
      <w:r w:rsidR="00534680">
        <w:t>.</w:t>
      </w:r>
      <w:r w:rsidR="000569C2">
        <w:tab/>
      </w:r>
      <w:r w:rsidR="00BA3A44">
        <w:t>Many other naturally coloured substances can be used</w:t>
      </w:r>
      <w:r w:rsidR="00534680">
        <w:t>. R</w:t>
      </w:r>
      <w:r w:rsidR="00BA3A44">
        <w:t>ed grape juice and juice from raspberries work well and are very easy to obtain.</w:t>
      </w:r>
    </w:p>
    <w:p w:rsidR="007A7D52" w:rsidRDefault="00BA3A44" w:rsidP="007A7D52">
      <w:pPr>
        <w:pStyle w:val="Heading2"/>
      </w:pPr>
      <w:r w:rsidRPr="00A84B2F">
        <w:lastRenderedPageBreak/>
        <w:t>Next Steps</w:t>
      </w:r>
    </w:p>
    <w:p w:rsidR="00BA3A44" w:rsidRPr="00A84B2F" w:rsidRDefault="00BA3A44" w:rsidP="00BA3A44">
      <w:r w:rsidRPr="00A84B2F">
        <w:t xml:space="preserve">This could lead into an investigation </w:t>
      </w:r>
      <w:r>
        <w:t xml:space="preserve">that compares the clarity of the </w:t>
      </w:r>
      <w:proofErr w:type="spellStart"/>
      <w:r>
        <w:t>colour</w:t>
      </w:r>
      <w:proofErr w:type="spellEnd"/>
      <w:r>
        <w:t xml:space="preserve"> changes of natural and artificial acid</w:t>
      </w:r>
      <w:r w:rsidR="00534680">
        <w:t>–</w:t>
      </w:r>
      <w:r>
        <w:t>base indicators.</w:t>
      </w:r>
      <w:r w:rsidR="00C273E5">
        <w:t xml:space="preserve"> </w:t>
      </w:r>
      <w:r w:rsidRPr="00A84B2F">
        <w:t xml:space="preserve">It could even be extended to senior chemistry </w:t>
      </w:r>
      <w:r>
        <w:t xml:space="preserve">when explaining the </w:t>
      </w:r>
      <w:proofErr w:type="spellStart"/>
      <w:r>
        <w:t>colour</w:t>
      </w:r>
      <w:proofErr w:type="spellEnd"/>
      <w:r>
        <w:t xml:space="preserve"> changes that occur during an </w:t>
      </w:r>
      <w:r w:rsidRPr="00A84B2F">
        <w:t>acid</w:t>
      </w:r>
      <w:r w:rsidR="00534680">
        <w:t>–</w:t>
      </w:r>
      <w:r w:rsidRPr="00A84B2F">
        <w:t>base titration.</w:t>
      </w:r>
    </w:p>
    <w:p w:rsidR="007A7D52" w:rsidRDefault="00BA3A44" w:rsidP="007A7D52">
      <w:pPr>
        <w:pStyle w:val="Heading2"/>
      </w:pPr>
      <w:r w:rsidRPr="00D97D2D">
        <w:t>Additional Resources</w:t>
      </w:r>
    </w:p>
    <w:p w:rsidR="007A7D52" w:rsidRDefault="00D2696A" w:rsidP="007A7D52">
      <w:pPr>
        <w:pStyle w:val="Numberedlist"/>
        <w:numPr>
          <w:ilvl w:val="0"/>
          <w:numId w:val="0"/>
        </w:numPr>
        <w:ind w:left="567" w:hanging="567"/>
      </w:pPr>
      <w:r>
        <w:rPr>
          <w:lang w:val="en-US"/>
        </w:rPr>
        <w:t>1.</w:t>
      </w:r>
      <w:r>
        <w:rPr>
          <w:lang w:val="en-US"/>
        </w:rPr>
        <w:tab/>
      </w:r>
      <w:r w:rsidR="00BA3A44" w:rsidRPr="00DE6B31">
        <w:t>Video of</w:t>
      </w:r>
      <w:r w:rsidR="000569C2">
        <w:t xml:space="preserve"> </w:t>
      </w:r>
      <w:r w:rsidR="00BA3A44" w:rsidRPr="00DE6B31">
        <w:t xml:space="preserve">a similar demonstration: </w:t>
      </w:r>
      <w:hyperlink r:id="rId8" w:history="1">
        <w:r w:rsidR="00BA3A44" w:rsidRPr="00DE6B31">
          <w:rPr>
            <w:rStyle w:val="Hyperlink"/>
          </w:rPr>
          <w:t>http://www.stevespanglerscience.com/experiment/red-cabbage-chemistry</w:t>
        </w:r>
      </w:hyperlink>
      <w:r>
        <w:t xml:space="preserve"> </w:t>
      </w:r>
      <w:r w:rsidRPr="00DE6B31">
        <w:t>(</w:t>
      </w:r>
      <w:r>
        <w:t>C</w:t>
      </w:r>
      <w:r w:rsidRPr="00DE6B31">
        <w:t>lick on the video tab</w:t>
      </w:r>
      <w:r>
        <w:t>.</w:t>
      </w:r>
      <w:r w:rsidRPr="00DE6B31">
        <w:t>)</w:t>
      </w:r>
    </w:p>
    <w:p w:rsidR="007A7D52" w:rsidRDefault="001E2FCF" w:rsidP="007A7D52">
      <w:pPr>
        <w:pStyle w:val="Numberedlist"/>
        <w:numPr>
          <w:ilvl w:val="0"/>
          <w:numId w:val="0"/>
        </w:numPr>
        <w:ind w:left="567" w:hanging="567"/>
      </w:pPr>
      <w:r>
        <w:t>2.</w:t>
      </w:r>
      <w:r>
        <w:tab/>
      </w:r>
      <w:proofErr w:type="gramStart"/>
      <w:r w:rsidR="00BA3A44" w:rsidRPr="00DE6B31">
        <w:t>pH</w:t>
      </w:r>
      <w:proofErr w:type="gramEnd"/>
      <w:r w:rsidR="00BA3A44" w:rsidRPr="00DE6B31">
        <w:t xml:space="preserve"> values of common substances and more information about the science of pH: </w:t>
      </w:r>
      <w:hyperlink r:id="rId9" w:history="1">
        <w:r w:rsidR="00BA3A44" w:rsidRPr="00DE6B31">
          <w:rPr>
            <w:rStyle w:val="Hyperlink"/>
          </w:rPr>
          <w:t>http://www.mpcfaculty.net/mark_bishop/pH_equilibrium.htm</w:t>
        </w:r>
      </w:hyperlink>
    </w:p>
    <w:p w:rsidR="009E38E0" w:rsidRDefault="001E2FCF">
      <w:pPr>
        <w:pStyle w:val="Numberedlist"/>
        <w:numPr>
          <w:ilvl w:val="0"/>
          <w:numId w:val="0"/>
        </w:numPr>
        <w:ind w:left="567" w:hanging="567"/>
      </w:pPr>
      <w:r>
        <w:t>3.</w:t>
      </w:r>
      <w:r>
        <w:tab/>
        <w:t>Source of a</w:t>
      </w:r>
      <w:r w:rsidRPr="00DE6B31">
        <w:t xml:space="preserve">nthocyanin </w:t>
      </w:r>
      <w:r w:rsidR="00BA3A44" w:rsidRPr="00DE6B31">
        <w:t>images:</w:t>
      </w:r>
      <w:r w:rsidR="000569C2">
        <w:t xml:space="preserve"> </w:t>
      </w:r>
      <w:hyperlink r:id="rId10" w:history="1">
        <w:r w:rsidRPr="00DF4453">
          <w:rPr>
            <w:rStyle w:val="Hyperlink"/>
          </w:rPr>
          <w:t>http://ww2.chemistry.gatech.edu/~lw26/bCourse_Information/red_cabbage_pH_indicator/cabbage.html</w:t>
        </w:r>
      </w:hyperlink>
    </w:p>
    <w:sectPr w:rsidR="009E38E0" w:rsidSect="00CB2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76C"/>
    <w:multiLevelType w:val="hybridMultilevel"/>
    <w:tmpl w:val="8E8AB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5A97"/>
    <w:multiLevelType w:val="hybridMultilevel"/>
    <w:tmpl w:val="0CBA8A84"/>
    <w:lvl w:ilvl="0" w:tplc="8506D11C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3C99"/>
    <w:multiLevelType w:val="hybridMultilevel"/>
    <w:tmpl w:val="137282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71FA"/>
    <w:multiLevelType w:val="hybridMultilevel"/>
    <w:tmpl w:val="401CF3B6"/>
    <w:lvl w:ilvl="0" w:tplc="7E6EB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39DB"/>
    <w:multiLevelType w:val="hybridMultilevel"/>
    <w:tmpl w:val="A13AD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C97"/>
    <w:multiLevelType w:val="hybridMultilevel"/>
    <w:tmpl w:val="E89C4A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44C8"/>
    <w:multiLevelType w:val="multilevel"/>
    <w:tmpl w:val="ED1E513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CF00FC"/>
    <w:multiLevelType w:val="hybridMultilevel"/>
    <w:tmpl w:val="D826AED6"/>
    <w:lvl w:ilvl="0" w:tplc="F202F4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84FAB"/>
    <w:multiLevelType w:val="hybridMultilevel"/>
    <w:tmpl w:val="B1CC95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F5F38"/>
    <w:multiLevelType w:val="hybridMultilevel"/>
    <w:tmpl w:val="5AB400A6"/>
    <w:lvl w:ilvl="0" w:tplc="109EE43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32A5E"/>
    <w:multiLevelType w:val="hybridMultilevel"/>
    <w:tmpl w:val="12688996"/>
    <w:lvl w:ilvl="0" w:tplc="AE5EE7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A45CE"/>
    <w:multiLevelType w:val="hybridMultilevel"/>
    <w:tmpl w:val="999C9A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B2E93"/>
    <w:multiLevelType w:val="hybridMultilevel"/>
    <w:tmpl w:val="B1CC95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F0FC5"/>
    <w:multiLevelType w:val="hybridMultilevel"/>
    <w:tmpl w:val="F1E0E834"/>
    <w:lvl w:ilvl="0" w:tplc="D8C6A6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7F4CDF"/>
    <w:rsid w:val="0001564D"/>
    <w:rsid w:val="000569C2"/>
    <w:rsid w:val="000612A1"/>
    <w:rsid w:val="00077FC6"/>
    <w:rsid w:val="0008660B"/>
    <w:rsid w:val="000F5307"/>
    <w:rsid w:val="00186BEF"/>
    <w:rsid w:val="001B5AB6"/>
    <w:rsid w:val="001B6EBE"/>
    <w:rsid w:val="001E2FCF"/>
    <w:rsid w:val="00216DEE"/>
    <w:rsid w:val="00221660"/>
    <w:rsid w:val="00230DF9"/>
    <w:rsid w:val="002B0912"/>
    <w:rsid w:val="002C18B5"/>
    <w:rsid w:val="002C24F9"/>
    <w:rsid w:val="002E6078"/>
    <w:rsid w:val="00300436"/>
    <w:rsid w:val="0030425B"/>
    <w:rsid w:val="00313D55"/>
    <w:rsid w:val="003B3E7F"/>
    <w:rsid w:val="003E295B"/>
    <w:rsid w:val="004372B3"/>
    <w:rsid w:val="00441527"/>
    <w:rsid w:val="004D7152"/>
    <w:rsid w:val="00534271"/>
    <w:rsid w:val="00534680"/>
    <w:rsid w:val="00562220"/>
    <w:rsid w:val="00563656"/>
    <w:rsid w:val="00564BFB"/>
    <w:rsid w:val="005E7D39"/>
    <w:rsid w:val="006A04C7"/>
    <w:rsid w:val="006B3C02"/>
    <w:rsid w:val="006C739D"/>
    <w:rsid w:val="006D17F8"/>
    <w:rsid w:val="006D2E26"/>
    <w:rsid w:val="00730066"/>
    <w:rsid w:val="007A7D52"/>
    <w:rsid w:val="007B2D60"/>
    <w:rsid w:val="007C2EFC"/>
    <w:rsid w:val="007F4CDF"/>
    <w:rsid w:val="008453A5"/>
    <w:rsid w:val="00870CC6"/>
    <w:rsid w:val="008B0964"/>
    <w:rsid w:val="008F16F0"/>
    <w:rsid w:val="009025E3"/>
    <w:rsid w:val="0095584B"/>
    <w:rsid w:val="009E38E0"/>
    <w:rsid w:val="00A3740B"/>
    <w:rsid w:val="00A96FBB"/>
    <w:rsid w:val="00AC1F86"/>
    <w:rsid w:val="00AC7A9A"/>
    <w:rsid w:val="00AE7066"/>
    <w:rsid w:val="00B06C97"/>
    <w:rsid w:val="00B16AA7"/>
    <w:rsid w:val="00B24F3B"/>
    <w:rsid w:val="00B5537E"/>
    <w:rsid w:val="00BA3A44"/>
    <w:rsid w:val="00BF1352"/>
    <w:rsid w:val="00C273E5"/>
    <w:rsid w:val="00C8755A"/>
    <w:rsid w:val="00C96A47"/>
    <w:rsid w:val="00CB2BB4"/>
    <w:rsid w:val="00D2696A"/>
    <w:rsid w:val="00D40E93"/>
    <w:rsid w:val="00D414DC"/>
    <w:rsid w:val="00D423DB"/>
    <w:rsid w:val="00D657E1"/>
    <w:rsid w:val="00DB6C73"/>
    <w:rsid w:val="00DD436E"/>
    <w:rsid w:val="00DF1113"/>
    <w:rsid w:val="00E145F0"/>
    <w:rsid w:val="00E47D70"/>
    <w:rsid w:val="00E82C7A"/>
    <w:rsid w:val="00E92737"/>
    <w:rsid w:val="00E9638D"/>
    <w:rsid w:val="00F14E4B"/>
    <w:rsid w:val="00F16967"/>
    <w:rsid w:val="00F2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97"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6C739D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C739D"/>
    <w:pPr>
      <w:keepNext/>
      <w:spacing w:before="240" w:after="60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6BEF"/>
    <w:pPr>
      <w:keepNext/>
      <w:spacing w:before="120" w:after="60"/>
      <w:outlineLvl w:val="2"/>
    </w:pPr>
    <w:rPr>
      <w:rFonts w:ascii="Cambria" w:hAnsi="Cambri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39D"/>
    <w:rPr>
      <w:rFonts w:ascii="Cambria" w:hAnsi="Cambria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C739D"/>
    <w:rPr>
      <w:rFonts w:ascii="Cambria" w:hAnsi="Cambria" w:cs="Arial"/>
      <w:b/>
      <w:bCs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86BEF"/>
    <w:rPr>
      <w:rFonts w:ascii="Cambria" w:hAnsi="Cambria" w:cs="Arial"/>
      <w:b/>
      <w:bCs/>
      <w:sz w:val="24"/>
      <w:szCs w:val="26"/>
      <w:lang w:val="en-US" w:eastAsia="en-US"/>
    </w:rPr>
  </w:style>
  <w:style w:type="table" w:styleId="TableGrid">
    <w:name w:val="Table Grid"/>
    <w:basedOn w:val="TableNormal"/>
    <w:uiPriority w:val="59"/>
    <w:rsid w:val="002C2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C97"/>
    <w:pPr>
      <w:ind w:left="284" w:hanging="284"/>
      <w:contextualSpacing/>
    </w:pPr>
    <w:rPr>
      <w:rFonts w:eastAsia="Calibri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06C97"/>
    <w:rPr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30425B"/>
    <w:pPr>
      <w:spacing w:before="100" w:beforeAutospacing="1" w:after="100" w:afterAutospacing="1"/>
    </w:pPr>
    <w:rPr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B5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AB6"/>
    <w:rPr>
      <w:rFonts w:ascii="Minion Pro" w:hAnsi="Minion Pr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B6"/>
    <w:rPr>
      <w:rFonts w:ascii="Minion Pro" w:hAnsi="Minion Pro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B6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7C2EFC"/>
    <w:rPr>
      <w:rFonts w:ascii="Minion Pro" w:hAnsi="Minion Pro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13D55"/>
    <w:pPr>
      <w:ind w:left="284" w:hanging="284"/>
    </w:pPr>
    <w:rPr>
      <w:rFonts w:ascii="Minion Pro" w:hAnsi="Minion Pro"/>
      <w:sz w:val="24"/>
      <w:szCs w:val="24"/>
      <w:lang w:val="en-US" w:eastAsia="en-US"/>
    </w:rPr>
  </w:style>
  <w:style w:type="paragraph" w:customStyle="1" w:styleId="Numberedlist">
    <w:name w:val="Numbered list"/>
    <w:basedOn w:val="Normal"/>
    <w:qFormat/>
    <w:rsid w:val="00D423DB"/>
    <w:pPr>
      <w:numPr>
        <w:numId w:val="6"/>
      </w:numPr>
      <w:ind w:left="567" w:hanging="567"/>
    </w:pPr>
    <w:rPr>
      <w:lang w:val="en-CA"/>
    </w:rPr>
  </w:style>
  <w:style w:type="paragraph" w:customStyle="1" w:styleId="Bulletedlist">
    <w:name w:val="Bulleted list"/>
    <w:basedOn w:val="Numberedlist"/>
    <w:qFormat/>
    <w:rsid w:val="00DB6C73"/>
    <w:pPr>
      <w:numPr>
        <w:numId w:val="13"/>
      </w:numPr>
      <w:ind w:left="567" w:hanging="567"/>
    </w:pPr>
  </w:style>
  <w:style w:type="paragraph" w:customStyle="1" w:styleId="Default">
    <w:name w:val="Default"/>
    <w:rsid w:val="00BA3A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aterialslist">
    <w:name w:val="Materials list"/>
    <w:basedOn w:val="Normal"/>
    <w:qFormat/>
    <w:rsid w:val="002B0912"/>
    <w:pPr>
      <w:autoSpaceDE w:val="0"/>
      <w:autoSpaceDN w:val="0"/>
      <w:adjustRightInd w:val="0"/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97"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6C739D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C739D"/>
    <w:pPr>
      <w:keepNext/>
      <w:spacing w:before="240" w:after="60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6BEF"/>
    <w:pPr>
      <w:keepNext/>
      <w:spacing w:before="120" w:after="60"/>
      <w:outlineLvl w:val="2"/>
    </w:pPr>
    <w:rPr>
      <w:rFonts w:ascii="Cambria" w:hAnsi="Cambri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39D"/>
    <w:rPr>
      <w:rFonts w:ascii="Cambria" w:hAnsi="Cambria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C739D"/>
    <w:rPr>
      <w:rFonts w:ascii="Cambria" w:hAnsi="Cambria" w:cs="Arial"/>
      <w:b/>
      <w:bCs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86BEF"/>
    <w:rPr>
      <w:rFonts w:ascii="Cambria" w:hAnsi="Cambria" w:cs="Arial"/>
      <w:b/>
      <w:bCs/>
      <w:sz w:val="24"/>
      <w:szCs w:val="26"/>
      <w:lang w:val="en-US" w:eastAsia="en-US"/>
    </w:rPr>
  </w:style>
  <w:style w:type="table" w:styleId="TableGrid">
    <w:name w:val="Table Grid"/>
    <w:basedOn w:val="TableNormal"/>
    <w:uiPriority w:val="59"/>
    <w:rsid w:val="002C2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C97"/>
    <w:pPr>
      <w:ind w:left="284" w:hanging="284"/>
      <w:contextualSpacing/>
    </w:pPr>
    <w:rPr>
      <w:rFonts w:eastAsia="Calibri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06C97"/>
    <w:rPr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30425B"/>
    <w:pPr>
      <w:spacing w:before="100" w:beforeAutospacing="1" w:after="100" w:afterAutospacing="1"/>
    </w:pPr>
    <w:rPr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B5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AB6"/>
    <w:rPr>
      <w:rFonts w:ascii="Minion Pro" w:hAnsi="Minion Pr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B6"/>
    <w:rPr>
      <w:rFonts w:ascii="Minion Pro" w:hAnsi="Minion Pro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B6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7C2EFC"/>
    <w:rPr>
      <w:rFonts w:ascii="Minion Pro" w:hAnsi="Minion Pro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13D55"/>
    <w:pPr>
      <w:ind w:left="284" w:hanging="284"/>
    </w:pPr>
    <w:rPr>
      <w:rFonts w:ascii="Minion Pro" w:hAnsi="Minion Pro"/>
      <w:sz w:val="24"/>
      <w:szCs w:val="24"/>
      <w:lang w:val="en-US" w:eastAsia="en-US"/>
    </w:rPr>
  </w:style>
  <w:style w:type="paragraph" w:customStyle="1" w:styleId="Numberedlist">
    <w:name w:val="Numbered list"/>
    <w:basedOn w:val="Normal"/>
    <w:qFormat/>
    <w:rsid w:val="00D423DB"/>
    <w:pPr>
      <w:numPr>
        <w:numId w:val="6"/>
      </w:numPr>
      <w:ind w:left="567" w:hanging="567"/>
    </w:pPr>
    <w:rPr>
      <w:lang w:val="en-CA"/>
    </w:rPr>
  </w:style>
  <w:style w:type="paragraph" w:customStyle="1" w:styleId="Bulletedlist">
    <w:name w:val="Bulleted list"/>
    <w:basedOn w:val="Numberedlist"/>
    <w:qFormat/>
    <w:rsid w:val="00DB6C73"/>
    <w:pPr>
      <w:numPr>
        <w:numId w:val="13"/>
      </w:numPr>
      <w:ind w:left="567" w:hanging="567"/>
    </w:pPr>
  </w:style>
  <w:style w:type="paragraph" w:customStyle="1" w:styleId="Default">
    <w:name w:val="Default"/>
    <w:rsid w:val="00BA3A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aterialslist">
    <w:name w:val="Materials list"/>
    <w:basedOn w:val="Normal"/>
    <w:qFormat/>
    <w:rsid w:val="002B0912"/>
    <w:pPr>
      <w:autoSpaceDE w:val="0"/>
      <w:autoSpaceDN w:val="0"/>
      <w:adjustRightInd w:val="0"/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espanglerscience.com/experiment/red-cabbage-chemistr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2.chemistry.gatech.edu/~lw26/bCourse_Information/red_cabbage_pH_indicator/cabb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cfaculty.net/mark_bishop/pH_equilibrium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cuments\STAO%20project%202013\Final%20Template%20for%20STAO%20Activit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Template for STAO Activities</Template>
  <TotalTime>0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Links>
    <vt:vector size="18" baseType="variant">
      <vt:variant>
        <vt:i4>3276896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http://www.youtube.com/watch?v=Pjklnza6Imk</vt:lpwstr>
      </vt:variant>
      <vt:variant>
        <vt:lpwstr/>
      </vt:variant>
      <vt:variant>
        <vt:i4>2097277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http://www.youtube.com/watch?v=qUwxq7QmSmQ</vt:lpwstr>
      </vt:variant>
      <vt:variant>
        <vt:lpwstr/>
      </vt:variant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http://www.youtube.com/watch?v=O5dhYLi4Y1c&amp;feature=related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Lee</dc:creator>
  <cp:lastModifiedBy>Denis</cp:lastModifiedBy>
  <cp:revision>2</cp:revision>
  <dcterms:created xsi:type="dcterms:W3CDTF">2013-08-09T00:08:00Z</dcterms:created>
  <dcterms:modified xsi:type="dcterms:W3CDTF">2013-08-09T00:08:00Z</dcterms:modified>
</cp:coreProperties>
</file>